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莆田市环境保护局信息公开保密审批表</w:t>
      </w:r>
    </w:p>
    <w:tbl>
      <w:tblPr>
        <w:tblStyle w:val="3"/>
        <w:tblW w:w="88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6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公开单位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莆田市环境应急与事故调查中心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公开栏目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环境信息标题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莆田市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eastAsia="仿宋_GB2312"/>
                <w:sz w:val="28"/>
                <w:szCs w:val="28"/>
              </w:rPr>
              <w:t>季度突发环境事件应急预案备案情况表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公开期限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永久    </w:t>
            </w:r>
          </w:p>
          <w:p>
            <w:pPr>
              <w:spacing w:line="6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□临时（    年   月  日——    年   月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信息制作人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    名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公开单位负责人审 查 意 见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分管领导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   批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2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注</w:t>
            </w:r>
          </w:p>
        </w:tc>
        <w:tc>
          <w:tcPr>
            <w:tcW w:w="659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2503"/>
        </w:tabs>
        <w:spacing w:line="200" w:lineRule="exact"/>
        <w:jc w:val="lef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1134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饮用水水源地突发环境事件应急预案编制情况表（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2019年第三季度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ind w:left="-420" w:leftChars="-200" w:firstLine="420" w:firstLineChars="175"/>
        <w:jc w:val="left"/>
        <w:rPr>
          <w:rFonts w:hint="default"/>
          <w:color w:val="000000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填报单位（公章）：</w:t>
      </w:r>
      <w:r>
        <w:rPr>
          <w:rFonts w:hint="eastAsia"/>
          <w:color w:val="000000"/>
          <w:sz w:val="24"/>
          <w:szCs w:val="24"/>
          <w:lang w:eastAsia="zh-CN"/>
        </w:rPr>
        <w:t>莆田市生态环境局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填报时间：2019年10月8日</w:t>
      </w:r>
    </w:p>
    <w:p>
      <w:pPr>
        <w:spacing w:after="156" w:afterLines="50"/>
        <w:rPr>
          <w:rFonts w:hint="eastAsia"/>
          <w:sz w:val="24"/>
          <w:szCs w:val="24"/>
        </w:rPr>
      </w:pPr>
    </w:p>
    <w:tbl>
      <w:tblPr>
        <w:tblStyle w:val="3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45"/>
        <w:gridCol w:w="1370"/>
        <w:gridCol w:w="4135"/>
        <w:gridCol w:w="1680"/>
        <w:gridCol w:w="1463"/>
        <w:gridCol w:w="964"/>
        <w:gridCol w:w="1323"/>
        <w:gridCol w:w="135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预案名称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水源地名称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印发部门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印发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文号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印发日期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实施日期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63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tabs>
                <w:tab w:val="center" w:pos="596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城厢区华亭镇院里水库饮用水源地突发环境事件应急预案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城厢区华亭镇院里水库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莆田市城厢区华亭镇人民政府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63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tabs>
                <w:tab w:val="center" w:pos="596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城厢区华亭镇朝阳水库饮用水源地突发环境事件应急预案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城厢区华亭镇朝阳水库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莆田市城厢区华亭镇人民政府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63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tabs>
                <w:tab w:val="center" w:pos="596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城厢区华亭镇红旗水库饮用水源地突发环境事件应急预案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城厢区华亭镇红旗水库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莆田市城厢区华亭镇人民政府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63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tabs>
                <w:tab w:val="center" w:pos="596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城厢区华亭镇径里水库饮用水源地突发环境事件应急预案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城厢区华亭镇径里水库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莆田市城厢区灵川镇人民政府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63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tabs>
                <w:tab w:val="center" w:pos="596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城厢区华亭镇桂山水库饮用水源地突发环境事件应急预案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城厢区华亭镇桂山水库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莆田市城厢区灵川镇人民政府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63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tabs>
                <w:tab w:val="center" w:pos="596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</w:t>
            </w:r>
          </w:p>
        </w:tc>
        <w:tc>
          <w:tcPr>
            <w:tcW w:w="41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城厢区华亭镇海头水库饮用水源地突发环境事件应急预案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城厢区华亭镇海头水库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莆田市城厢区东海镇人民政府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2019.8.12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企事业单位突发环境事件应急预案备案情况表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2019年第三季度）</w:t>
      </w:r>
    </w:p>
    <w:p>
      <w:pPr>
        <w:spacing w:afterLines="50"/>
        <w:rPr>
          <w:rFonts w:hint="eastAsia"/>
          <w:color w:val="000000"/>
          <w:sz w:val="24"/>
          <w:szCs w:val="24"/>
        </w:rPr>
      </w:pPr>
    </w:p>
    <w:p>
      <w:pPr>
        <w:ind w:left="-420" w:leftChars="-200" w:firstLine="420" w:firstLineChars="175"/>
        <w:jc w:val="left"/>
        <w:rPr>
          <w:rFonts w:hint="default"/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</w:rPr>
        <w:t>填报单位（公章）：</w:t>
      </w:r>
      <w:r>
        <w:rPr>
          <w:rFonts w:hint="eastAsia"/>
          <w:color w:val="000000"/>
          <w:sz w:val="24"/>
          <w:szCs w:val="24"/>
          <w:lang w:eastAsia="zh-CN"/>
        </w:rPr>
        <w:t>莆田市生态环境局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填报时间：2019年10月8日</w:t>
      </w:r>
    </w:p>
    <w:tbl>
      <w:tblPr>
        <w:tblStyle w:val="3"/>
        <w:tblpPr w:leftFromText="180" w:rightFromText="180" w:vertAnchor="text" w:horzAnchor="page" w:tblpXSpec="center" w:tblpY="436"/>
        <w:tblOverlap w:val="never"/>
        <w:tblW w:w="155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32"/>
        <w:gridCol w:w="1965"/>
        <w:gridCol w:w="2865"/>
        <w:gridCol w:w="1811"/>
        <w:gridCol w:w="750"/>
        <w:gridCol w:w="975"/>
        <w:gridCol w:w="529"/>
        <w:gridCol w:w="705"/>
        <w:gridCol w:w="1080"/>
        <w:gridCol w:w="1230"/>
        <w:gridCol w:w="2070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类型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单位（项目）名称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预案名称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版本号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环境风险等级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所在地区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是否跨区域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是否重点企业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备案部门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备案日期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备案编号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福建省仙游县粮食购销有限责任公司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福建省仙游县粮食购销有限责任公司突发环境事件应急预案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XYLS-2019-01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2019.7.26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350322-2019-008-L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中国石油天然气股份有限公司福建莆田仙游游洋加油站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中国石油天然气股份有限公司福建莆田仙游游洋加油站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YYJYZ-2019-01版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2019.8.15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350322-2019-009-L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兴吉（仙游）投资有限公司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兴吉（仙游）投资有限公司兴吉鲤南加油站突发环境事件应急预案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XJLN-XY-YJYA-201904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2019.8.15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350322-2019-010-L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莆田铕乾废旧金属回收有限公司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莆田铕乾废旧金属回收有限公司突发环境事件应急预案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YQHS-2019-001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2019.9.6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350322-2019-011-L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莆田市日晶玻璃制品有限公司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莆田市日晶玻璃制品有限公司突发环境事件应急预案（修订版）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RJBL-2019-02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2019.9.12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350322-2019-012-L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仙游县东方石化有限公司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仙游县龙华东方加油站 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DFJYZHJYA-2019-01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2019.9.12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350322-2019-013-L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仙游县大济镇文殊加油站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仙游县大济镇文殊加油站 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WSJYZHJYA-2019-01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县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仙游生态环境局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2019.9.12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350322-2019-014-L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福建金汉科技有限公司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福建金汉科技有限公司突发环境事件应急预案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JHKJ01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一般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窗体底端</w:t>
            </w:r>
          </w:p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荔城区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窗体顶端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荔城生态环境局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窗体底端</w:t>
            </w:r>
          </w:p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荔城生态环境局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2019.9.18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350304-2019-007-L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三棵树涂料股份有限公司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三棵树涂料股份有限公司突发环境事件应急预案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SKSYJ-201901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窗体顶端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窗体底端</w:t>
            </w:r>
          </w:p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荔城区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荔城生态环境局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2019.7.5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350304-2019-006-H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莆田温氏家禽有限公司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莆田温氏家禽有限公司突发环境事件应急预案（修订）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WSJQ-2019-01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城厢生态环境局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2019.8.12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350302-2019-005-L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百威英博雪津啤酒有限公司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百威雪津啤酒有限公司突发环境事件应急预案（2019年6月修订）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BWXJHJYJYA-2019-06（修编）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较大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涵江区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涵江生态环境局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350303-2019-019-M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4" w:colLast="4"/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莆田市涵江区永辉塑胶有限公司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莆田市涵江区永辉塑胶有限公司突发环境事件应急预案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YHSJ-2019-01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涵江区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涵江生态环境局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350303-2019-020-L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新增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福建省福能水务投资发展有限责任公司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涵江区滨海新城工业污水处理厂（近期3.5万t/d）突发环境事件应急预案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FNSWYA2019年-01版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涵江区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涵江生态环境局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350303-2019-021-L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福建中兴专用车制造有限公司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福建中兴专用车制造有限公司突发环境事件应急预案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ZYZYC-2019-01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涵江区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涵江生态环境局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350303-2019-022-L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莆田市铭聚工贸有限公司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莆田市铭聚工贸有限公司突发环境事件应急预案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MJGM-2019-001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较大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秀屿区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秀屿生态环境局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55"/>
                <w:tab w:val="center" w:pos="749"/>
              </w:tabs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2019.7.5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350305-2019-008-M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中节能（莆田）再生资源利用有限公司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中节能（莆田）再生资源利用有限公司突发环境事件应急预案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PTSHJWSGLC-2019-001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秀屿区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秀屿生态环境局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2019.7.11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350305-2019-009-L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福建东森节能环保科技股份有限公司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福建东森节能环保科技股份有限公司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DSJN-2019-01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秀屿区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秀屿生态环境局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2019.8.16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350305-2019-010-L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中海福建天然气有限责任公司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中海福建天然气有限责任公司突发环境事件应急预案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2019-3.0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秀屿区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秀屿生态环境局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2019.9.16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350305-2019-011-H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福建永荣科技有限公司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福建永荣科技有限公司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YRKJ-HJYJ-201909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秀屿区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秀屿生态环境局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2019.9.24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350305-2019-012-H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福建省莆田市翊翔鞋材有限公司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福建省莆田市翊翔鞋材有限公司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YXXC-2019-01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秀屿区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秀屿生态环境局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2019.9.24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350305-2019-013-L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福建中锦新材料有限公司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福建中锦新材料有限公司突发环境事件应急预案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Ver: 3.0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较大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秀屿区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秀屿生态环境局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2019.9.25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350305-2019-014-M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after="156" w:afterLines="5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莆田市金启工贸有限公司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莆田市金启工贸有限公司突发环境事件应急预案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JQGM-2019-01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秀屿区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秀屿生态环境局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2019.9.25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350305-2019-015-L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新增</w:t>
            </w:r>
          </w:p>
        </w:tc>
      </w:tr>
    </w:tbl>
    <w:p>
      <w:pPr>
        <w:spacing w:after="156" w:afterLines="5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/>
        </w:rPr>
        <w:t>审核人：邱开华                                                                      填表人：刘赛男</w:t>
      </w:r>
    </w:p>
    <w:p/>
    <w:sectPr>
      <w:pgSz w:w="16838" w:h="11906" w:orient="landscape"/>
      <w:pgMar w:top="1134" w:right="1440" w:bottom="56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9852F"/>
    <w:multiLevelType w:val="singleLevel"/>
    <w:tmpl w:val="AC59852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FD62DD15"/>
    <w:multiLevelType w:val="singleLevel"/>
    <w:tmpl w:val="FD62DD1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1157F"/>
    <w:rsid w:val="00067B5D"/>
    <w:rsid w:val="012067B0"/>
    <w:rsid w:val="02835D3D"/>
    <w:rsid w:val="08083766"/>
    <w:rsid w:val="0BA901CD"/>
    <w:rsid w:val="0E8D4263"/>
    <w:rsid w:val="14B9442B"/>
    <w:rsid w:val="16302B3E"/>
    <w:rsid w:val="166E0937"/>
    <w:rsid w:val="16D04C6D"/>
    <w:rsid w:val="181C1780"/>
    <w:rsid w:val="191850F1"/>
    <w:rsid w:val="19566E1B"/>
    <w:rsid w:val="1CEF1887"/>
    <w:rsid w:val="1D701DE1"/>
    <w:rsid w:val="1E757BF5"/>
    <w:rsid w:val="213770B5"/>
    <w:rsid w:val="22CB71DE"/>
    <w:rsid w:val="22E35E7D"/>
    <w:rsid w:val="25E55A0B"/>
    <w:rsid w:val="26B058F8"/>
    <w:rsid w:val="2A8B3C0B"/>
    <w:rsid w:val="2AE57B9A"/>
    <w:rsid w:val="2B5522AD"/>
    <w:rsid w:val="2BB13835"/>
    <w:rsid w:val="2C3336B8"/>
    <w:rsid w:val="2EBA6C73"/>
    <w:rsid w:val="30A26126"/>
    <w:rsid w:val="317237BE"/>
    <w:rsid w:val="3221157F"/>
    <w:rsid w:val="34F37A85"/>
    <w:rsid w:val="37572C40"/>
    <w:rsid w:val="387F7D09"/>
    <w:rsid w:val="39C045AB"/>
    <w:rsid w:val="3A701007"/>
    <w:rsid w:val="3CFC26F8"/>
    <w:rsid w:val="3D7C04C7"/>
    <w:rsid w:val="3D8D0004"/>
    <w:rsid w:val="3F346B02"/>
    <w:rsid w:val="41CB36FA"/>
    <w:rsid w:val="42C56DF8"/>
    <w:rsid w:val="42E920E2"/>
    <w:rsid w:val="44C30001"/>
    <w:rsid w:val="45B747C5"/>
    <w:rsid w:val="473A3CEB"/>
    <w:rsid w:val="482D78E0"/>
    <w:rsid w:val="48C125F8"/>
    <w:rsid w:val="49366B2B"/>
    <w:rsid w:val="49C24FC3"/>
    <w:rsid w:val="4AE92BC0"/>
    <w:rsid w:val="4B115617"/>
    <w:rsid w:val="4B2E295A"/>
    <w:rsid w:val="4C7666F7"/>
    <w:rsid w:val="4CCA6F42"/>
    <w:rsid w:val="4E7D75A0"/>
    <w:rsid w:val="52BB2790"/>
    <w:rsid w:val="54E576F5"/>
    <w:rsid w:val="56F17A2B"/>
    <w:rsid w:val="58E47154"/>
    <w:rsid w:val="5ACB4EA9"/>
    <w:rsid w:val="5EF752E1"/>
    <w:rsid w:val="5F0D12E4"/>
    <w:rsid w:val="60937C13"/>
    <w:rsid w:val="612028EC"/>
    <w:rsid w:val="62242505"/>
    <w:rsid w:val="62E37653"/>
    <w:rsid w:val="63050453"/>
    <w:rsid w:val="66DF2FB4"/>
    <w:rsid w:val="67544828"/>
    <w:rsid w:val="68C008C9"/>
    <w:rsid w:val="6A571C0B"/>
    <w:rsid w:val="6CE25824"/>
    <w:rsid w:val="6DC36EC0"/>
    <w:rsid w:val="6F590CA2"/>
    <w:rsid w:val="70893B1B"/>
    <w:rsid w:val="771524BC"/>
    <w:rsid w:val="771839F1"/>
    <w:rsid w:val="785C5068"/>
    <w:rsid w:val="7B111C47"/>
    <w:rsid w:val="7B4F3622"/>
    <w:rsid w:val="7BAB479C"/>
    <w:rsid w:val="7BD2644C"/>
    <w:rsid w:val="7C7C55BE"/>
    <w:rsid w:val="7CB3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2019-01-14T07:24:00Z</dcterms:created>
  <dc:creator>Administrator</dc:creator>
  <cp:lastModifiedBy>環</cp:lastModifiedBy>
  <cp:lastPrinted>2019-10-08T09:12:00Z</cp:lastPrinted>
  <dcterms:modified xsi:type="dcterms:W3CDTF">2019-10-09T07:02:35Z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