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C3A" w:rsidRDefault="001E3C3A" w:rsidP="001E3C3A">
      <w:pPr>
        <w:adjustRightInd w:val="0"/>
        <w:snapToGrid w:val="0"/>
        <w:rPr>
          <w:rFonts w:ascii="黑体" w:eastAsia="黑体" w:cs="宋体"/>
          <w:color w:val="000000"/>
          <w:szCs w:val="32"/>
        </w:rPr>
      </w:pPr>
      <w:r>
        <w:rPr>
          <w:rFonts w:ascii="黑体" w:eastAsia="黑体" w:cs="宋体" w:hint="eastAsia"/>
          <w:color w:val="000000"/>
          <w:szCs w:val="32"/>
        </w:rPr>
        <w:t>附件1</w:t>
      </w:r>
    </w:p>
    <w:p w:rsidR="001E3C3A" w:rsidRPr="00EA67BF" w:rsidRDefault="001E3C3A" w:rsidP="001E3C3A">
      <w:pPr>
        <w:adjustRightInd w:val="0"/>
        <w:snapToGrid w:val="0"/>
        <w:spacing w:line="300" w:lineRule="auto"/>
        <w:jc w:val="center"/>
        <w:rPr>
          <w:rFonts w:ascii="方正小标宋简体" w:eastAsia="方正小标宋简体" w:cs="宋体" w:hint="eastAsia"/>
          <w:sz w:val="44"/>
          <w:szCs w:val="44"/>
        </w:rPr>
      </w:pPr>
      <w:r w:rsidRPr="00EA67BF">
        <w:rPr>
          <w:rFonts w:ascii="方正小标宋简体" w:eastAsia="方正小标宋简体" w:cs="宋体" w:hint="eastAsia"/>
          <w:bCs/>
          <w:sz w:val="44"/>
          <w:szCs w:val="44"/>
        </w:rPr>
        <w:t>莆田市地下水污染防治主要工作任务表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76"/>
        <w:gridCol w:w="1260"/>
        <w:gridCol w:w="6869"/>
        <w:gridCol w:w="1259"/>
        <w:gridCol w:w="1823"/>
        <w:gridCol w:w="1898"/>
      </w:tblGrid>
      <w:tr w:rsidR="001E3C3A" w:rsidTr="004C66F9">
        <w:trPr>
          <w:trHeight w:val="590"/>
          <w:tblHeader/>
          <w:jc w:val="center"/>
        </w:trPr>
        <w:tc>
          <w:tcPr>
            <w:tcW w:w="2336" w:type="dxa"/>
            <w:gridSpan w:val="2"/>
            <w:vAlign w:val="center"/>
          </w:tcPr>
          <w:p w:rsidR="001E3C3A" w:rsidRDefault="001E3C3A" w:rsidP="004C66F9">
            <w:pPr>
              <w:adjustRightInd w:val="0"/>
              <w:snapToGrid w:val="0"/>
              <w:jc w:val="center"/>
              <w:rPr>
                <w:rFonts w:ascii="黑体" w:eastAsia="黑体"/>
                <w:sz w:val="21"/>
                <w:szCs w:val="21"/>
              </w:rPr>
            </w:pPr>
            <w:r>
              <w:rPr>
                <w:rFonts w:ascii="黑体" w:eastAsia="黑体" w:hint="eastAsia"/>
                <w:color w:val="000000"/>
                <w:sz w:val="21"/>
                <w:szCs w:val="21"/>
              </w:rPr>
              <w:t>主要任务</w:t>
            </w:r>
          </w:p>
        </w:tc>
        <w:tc>
          <w:tcPr>
            <w:tcW w:w="6869" w:type="dxa"/>
            <w:vAlign w:val="center"/>
          </w:tcPr>
          <w:p w:rsidR="001E3C3A" w:rsidRDefault="001E3C3A" w:rsidP="004C66F9">
            <w:pPr>
              <w:adjustRightInd w:val="0"/>
              <w:snapToGrid w:val="0"/>
              <w:jc w:val="center"/>
              <w:rPr>
                <w:rFonts w:ascii="黑体" w:eastAsia="黑体"/>
                <w:sz w:val="21"/>
                <w:szCs w:val="21"/>
              </w:rPr>
            </w:pPr>
            <w:r>
              <w:rPr>
                <w:rFonts w:ascii="黑体" w:eastAsia="黑体" w:hint="eastAsia"/>
                <w:color w:val="000000"/>
                <w:sz w:val="21"/>
                <w:szCs w:val="21"/>
              </w:rPr>
              <w:t>具体工作要求</w:t>
            </w:r>
          </w:p>
        </w:tc>
        <w:tc>
          <w:tcPr>
            <w:tcW w:w="1259" w:type="dxa"/>
            <w:vAlign w:val="center"/>
          </w:tcPr>
          <w:p w:rsidR="001E3C3A" w:rsidRDefault="001E3C3A" w:rsidP="004C66F9">
            <w:pPr>
              <w:adjustRightInd w:val="0"/>
              <w:snapToGrid w:val="0"/>
              <w:jc w:val="center"/>
              <w:rPr>
                <w:rFonts w:ascii="黑体" w:eastAsia="黑体"/>
                <w:sz w:val="21"/>
                <w:szCs w:val="21"/>
              </w:rPr>
            </w:pPr>
            <w:r>
              <w:rPr>
                <w:rFonts w:ascii="黑体" w:eastAsia="黑体" w:hint="eastAsia"/>
                <w:color w:val="000000"/>
                <w:sz w:val="21"/>
                <w:szCs w:val="21"/>
              </w:rPr>
              <w:t>时限要求</w:t>
            </w:r>
          </w:p>
        </w:tc>
        <w:tc>
          <w:tcPr>
            <w:tcW w:w="1823" w:type="dxa"/>
            <w:vAlign w:val="center"/>
          </w:tcPr>
          <w:p w:rsidR="001E3C3A" w:rsidRDefault="001E3C3A" w:rsidP="004C66F9">
            <w:pPr>
              <w:adjustRightInd w:val="0"/>
              <w:snapToGrid w:val="0"/>
              <w:jc w:val="center"/>
              <w:rPr>
                <w:rFonts w:ascii="黑体" w:eastAsia="黑体"/>
                <w:sz w:val="21"/>
                <w:szCs w:val="21"/>
              </w:rPr>
            </w:pPr>
            <w:r>
              <w:rPr>
                <w:rFonts w:ascii="黑体" w:eastAsia="黑体" w:hint="eastAsia"/>
                <w:color w:val="000000"/>
                <w:sz w:val="21"/>
                <w:szCs w:val="21"/>
              </w:rPr>
              <w:t>牵头单位</w:t>
            </w:r>
          </w:p>
        </w:tc>
        <w:tc>
          <w:tcPr>
            <w:tcW w:w="1898" w:type="dxa"/>
            <w:vAlign w:val="center"/>
          </w:tcPr>
          <w:p w:rsidR="001E3C3A" w:rsidRDefault="001E3C3A" w:rsidP="004C66F9">
            <w:pPr>
              <w:adjustRightInd w:val="0"/>
              <w:snapToGrid w:val="0"/>
              <w:jc w:val="center"/>
              <w:rPr>
                <w:rFonts w:ascii="黑体" w:eastAsia="黑体"/>
                <w:sz w:val="21"/>
                <w:szCs w:val="21"/>
              </w:rPr>
            </w:pPr>
            <w:r>
              <w:rPr>
                <w:rFonts w:ascii="黑体" w:eastAsia="黑体" w:hint="eastAsia"/>
                <w:color w:val="000000"/>
                <w:sz w:val="21"/>
                <w:szCs w:val="21"/>
              </w:rPr>
              <w:t>参与单位</w:t>
            </w:r>
          </w:p>
        </w:tc>
      </w:tr>
      <w:tr w:rsidR="001E3C3A" w:rsidTr="004C66F9">
        <w:trPr>
          <w:trHeight w:val="1579"/>
          <w:tblHeader/>
          <w:jc w:val="center"/>
        </w:trPr>
        <w:tc>
          <w:tcPr>
            <w:tcW w:w="1076" w:type="dxa"/>
            <w:vMerge w:val="restart"/>
            <w:vAlign w:val="center"/>
          </w:tcPr>
          <w:p w:rsidR="001E3C3A" w:rsidRDefault="001E3C3A" w:rsidP="004C66F9">
            <w:pPr>
              <w:adjustRightInd w:val="0"/>
              <w:snapToGrid w:val="0"/>
              <w:jc w:val="center"/>
              <w:rPr>
                <w:rFonts w:ascii="仿宋_GB2312"/>
                <w:color w:val="000000"/>
                <w:sz w:val="21"/>
                <w:szCs w:val="21"/>
              </w:rPr>
            </w:pPr>
            <w:r>
              <w:rPr>
                <w:rFonts w:ascii="仿宋_GB2312" w:hint="eastAsia"/>
                <w:color w:val="000000"/>
                <w:sz w:val="21"/>
                <w:szCs w:val="21"/>
              </w:rPr>
              <w:t>（一）建立地下水污染防治管理体系、地下水环境监测体系</w:t>
            </w:r>
          </w:p>
          <w:p w:rsidR="001E3C3A" w:rsidRDefault="001E3C3A" w:rsidP="004C66F9">
            <w:pPr>
              <w:adjustRightInd w:val="0"/>
              <w:snapToGrid w:val="0"/>
              <w:jc w:val="center"/>
              <w:rPr>
                <w:rFonts w:ascii="仿宋_GB2312"/>
                <w:sz w:val="21"/>
                <w:szCs w:val="21"/>
              </w:rPr>
            </w:pPr>
          </w:p>
        </w:tc>
        <w:tc>
          <w:tcPr>
            <w:tcW w:w="1260" w:type="dxa"/>
            <w:vAlign w:val="center"/>
          </w:tcPr>
          <w:p w:rsidR="001E3C3A" w:rsidRDefault="001E3C3A" w:rsidP="004C66F9">
            <w:pPr>
              <w:adjustRightInd w:val="0"/>
              <w:snapToGrid w:val="0"/>
              <w:rPr>
                <w:rFonts w:ascii="仿宋_GB2312"/>
                <w:color w:val="000000"/>
                <w:sz w:val="21"/>
                <w:szCs w:val="21"/>
              </w:rPr>
            </w:pPr>
            <w:r>
              <w:rPr>
                <w:rFonts w:ascii="仿宋_GB2312" w:hint="eastAsia"/>
                <w:color w:val="000000"/>
                <w:sz w:val="21"/>
                <w:szCs w:val="21"/>
              </w:rPr>
              <w:t>1.制定莆田市地下水污染防治规划</w:t>
            </w:r>
          </w:p>
        </w:tc>
        <w:tc>
          <w:tcPr>
            <w:tcW w:w="6869"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根据省级地下水污染防治规划，组织编制全市2021-2025年地下水污染防治规划，细化落实水、土壤污染防治法的要求，以保护和改善地下水环境质量为核心，坚持综合施策，落实地下水污染防治主体责任，包括地下水污染状况调查、监测、评估、风险防控、修复等，实现地下水污染防治全面监管。</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2020年</w:t>
            </w:r>
          </w:p>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年底前</w:t>
            </w:r>
          </w:p>
        </w:tc>
        <w:tc>
          <w:tcPr>
            <w:tcW w:w="1823"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市生态环境局</w:t>
            </w:r>
          </w:p>
        </w:tc>
        <w:tc>
          <w:tcPr>
            <w:tcW w:w="1898"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市自然资源局、水利局等</w:t>
            </w:r>
          </w:p>
        </w:tc>
      </w:tr>
      <w:tr w:rsidR="001E3C3A" w:rsidTr="004C66F9">
        <w:trPr>
          <w:trHeight w:val="1852"/>
          <w:tblHeader/>
          <w:jc w:val="center"/>
        </w:trPr>
        <w:tc>
          <w:tcPr>
            <w:tcW w:w="1076" w:type="dxa"/>
            <w:vMerge/>
            <w:vAlign w:val="center"/>
          </w:tcPr>
          <w:p w:rsidR="001E3C3A" w:rsidRDefault="001E3C3A" w:rsidP="004C66F9">
            <w:pPr>
              <w:adjustRightInd w:val="0"/>
              <w:snapToGrid w:val="0"/>
              <w:jc w:val="center"/>
              <w:rPr>
                <w:rFonts w:ascii="仿宋_GB2312"/>
                <w:sz w:val="21"/>
                <w:szCs w:val="21"/>
              </w:rPr>
            </w:pPr>
          </w:p>
        </w:tc>
        <w:tc>
          <w:tcPr>
            <w:tcW w:w="1260" w:type="dxa"/>
            <w:vMerge w:val="restart"/>
            <w:vAlign w:val="center"/>
          </w:tcPr>
          <w:p w:rsidR="001E3C3A" w:rsidRDefault="001E3C3A" w:rsidP="004C66F9">
            <w:pPr>
              <w:adjustRightInd w:val="0"/>
              <w:snapToGrid w:val="0"/>
              <w:jc w:val="center"/>
              <w:rPr>
                <w:rFonts w:ascii="仿宋_GB2312" w:cs="宋体"/>
                <w:bCs/>
                <w:color w:val="000000"/>
                <w:sz w:val="21"/>
                <w:szCs w:val="21"/>
              </w:rPr>
            </w:pPr>
            <w:r>
              <w:rPr>
                <w:rFonts w:ascii="仿宋_GB2312" w:cs="宋体" w:hint="eastAsia"/>
                <w:bCs/>
                <w:color w:val="000000"/>
                <w:sz w:val="21"/>
                <w:szCs w:val="21"/>
              </w:rPr>
              <w:t>2．完善地下水环境监测网</w:t>
            </w:r>
          </w:p>
        </w:tc>
        <w:tc>
          <w:tcPr>
            <w:tcW w:w="6869"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根据上级统一要求，摸底调查并整合各类地下水监测井（衔接自然资源、水利部门已开展的国家地下水监测工程、省级地下水监测工程，整合建设项目环评要求设置的地下水污染跟踪监测井、地下水型饮用水源开采井、土壤污染状况详查监测井、地下水基础环境状况调查评估监测井、《中华人民共和国水污染防治法》要求的污染源地下水水质监测井等），加强现有地下水环境监测井的运行维护和管理，完善地下水监测数据报送制度。</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2020年</w:t>
            </w:r>
          </w:p>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年底前</w:t>
            </w:r>
          </w:p>
        </w:tc>
        <w:tc>
          <w:tcPr>
            <w:tcW w:w="3721" w:type="dxa"/>
            <w:gridSpan w:val="2"/>
            <w:vMerge w:val="restart"/>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市生态环境、自然资源、水利等部门按职责分工负责</w:t>
            </w:r>
          </w:p>
        </w:tc>
      </w:tr>
      <w:tr w:rsidR="001E3C3A" w:rsidTr="004C66F9">
        <w:trPr>
          <w:trHeight w:val="594"/>
          <w:tblHeader/>
          <w:jc w:val="center"/>
        </w:trPr>
        <w:tc>
          <w:tcPr>
            <w:tcW w:w="1076" w:type="dxa"/>
            <w:vMerge/>
            <w:vAlign w:val="center"/>
          </w:tcPr>
          <w:p w:rsidR="001E3C3A" w:rsidRDefault="001E3C3A" w:rsidP="004C66F9"/>
        </w:tc>
        <w:tc>
          <w:tcPr>
            <w:tcW w:w="1260" w:type="dxa"/>
            <w:vMerge/>
            <w:vAlign w:val="center"/>
          </w:tcPr>
          <w:p w:rsidR="001E3C3A" w:rsidRDefault="001E3C3A" w:rsidP="004C66F9"/>
        </w:tc>
        <w:tc>
          <w:tcPr>
            <w:tcW w:w="6869"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根据上级部署，构建全市地下水环境监测网，开展地下水环境监测。</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2025年</w:t>
            </w:r>
          </w:p>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年底前</w:t>
            </w:r>
          </w:p>
        </w:tc>
        <w:tc>
          <w:tcPr>
            <w:tcW w:w="3721" w:type="dxa"/>
            <w:gridSpan w:val="2"/>
            <w:vMerge/>
            <w:vAlign w:val="center"/>
          </w:tcPr>
          <w:p w:rsidR="001E3C3A" w:rsidRDefault="001E3C3A" w:rsidP="004C66F9"/>
        </w:tc>
      </w:tr>
      <w:tr w:rsidR="001E3C3A" w:rsidTr="004C66F9">
        <w:trPr>
          <w:trHeight w:val="566"/>
          <w:tblHeader/>
          <w:jc w:val="center"/>
        </w:trPr>
        <w:tc>
          <w:tcPr>
            <w:tcW w:w="1076" w:type="dxa"/>
            <w:vMerge/>
            <w:vAlign w:val="center"/>
          </w:tcPr>
          <w:p w:rsidR="001E3C3A" w:rsidRDefault="001E3C3A" w:rsidP="004C66F9"/>
        </w:tc>
        <w:tc>
          <w:tcPr>
            <w:tcW w:w="1260" w:type="dxa"/>
            <w:tcBorders>
              <w:bottom w:val="single" w:sz="4" w:space="0" w:color="auto"/>
            </w:tcBorders>
            <w:vAlign w:val="center"/>
          </w:tcPr>
          <w:p w:rsidR="001E3C3A" w:rsidRDefault="001E3C3A" w:rsidP="004C66F9">
            <w:pPr>
              <w:adjustRightInd w:val="0"/>
              <w:snapToGrid w:val="0"/>
              <w:jc w:val="center"/>
              <w:rPr>
                <w:rFonts w:ascii="仿宋_GB2312" w:cs="宋体"/>
                <w:bCs/>
                <w:color w:val="000000"/>
                <w:sz w:val="21"/>
                <w:szCs w:val="21"/>
              </w:rPr>
            </w:pPr>
            <w:r>
              <w:rPr>
                <w:rFonts w:ascii="仿宋_GB2312" w:cs="宋体" w:hint="eastAsia"/>
                <w:bCs/>
                <w:color w:val="000000"/>
                <w:sz w:val="21"/>
                <w:szCs w:val="21"/>
              </w:rPr>
              <w:t>3.规范应用省级地下水环境监测信息平台</w:t>
            </w:r>
          </w:p>
        </w:tc>
        <w:tc>
          <w:tcPr>
            <w:tcW w:w="6869" w:type="dxa"/>
            <w:tcBorders>
              <w:bottom w:val="single" w:sz="4" w:space="0" w:color="auto"/>
            </w:tcBorders>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应用省级地下  水环境监测信息平台。</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持续推进</w:t>
            </w:r>
          </w:p>
        </w:tc>
        <w:tc>
          <w:tcPr>
            <w:tcW w:w="3721" w:type="dxa"/>
            <w:gridSpan w:val="2"/>
            <w:vMerge w:val="restart"/>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市生态环境、自然资源、水利等部门按职责分工负责</w:t>
            </w:r>
          </w:p>
        </w:tc>
      </w:tr>
      <w:tr w:rsidR="001E3C3A" w:rsidTr="004C66F9">
        <w:trPr>
          <w:trHeight w:val="594"/>
          <w:tblHeader/>
          <w:jc w:val="center"/>
        </w:trPr>
        <w:tc>
          <w:tcPr>
            <w:tcW w:w="1076" w:type="dxa"/>
            <w:vMerge/>
            <w:vAlign w:val="center"/>
          </w:tcPr>
          <w:p w:rsidR="001E3C3A" w:rsidRDefault="001E3C3A" w:rsidP="004C66F9"/>
        </w:tc>
        <w:tc>
          <w:tcPr>
            <w:tcW w:w="1260" w:type="dxa"/>
            <w:tcBorders>
              <w:top w:val="single" w:sz="4" w:space="0" w:color="auto"/>
            </w:tcBorders>
            <w:vAlign w:val="center"/>
          </w:tcPr>
          <w:p w:rsidR="001E3C3A" w:rsidRDefault="001E3C3A" w:rsidP="004C66F9">
            <w:pPr>
              <w:rPr>
                <w:bCs/>
              </w:rPr>
            </w:pPr>
            <w:r>
              <w:rPr>
                <w:rFonts w:ascii="仿宋_GB2312" w:cs="宋体" w:hint="eastAsia"/>
                <w:bCs/>
                <w:color w:val="000000"/>
                <w:sz w:val="21"/>
                <w:szCs w:val="21"/>
              </w:rPr>
              <w:t>4.强化地下水环境监测技术力量</w:t>
            </w:r>
          </w:p>
        </w:tc>
        <w:tc>
          <w:tcPr>
            <w:tcW w:w="6869" w:type="dxa"/>
            <w:tcBorders>
              <w:top w:val="single" w:sz="4" w:space="0" w:color="auto"/>
            </w:tcBorders>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依据国家《地下水环境监测技术规范》及标准化建设要求，加强地下水监测设备配置，强化监测技术人员培训，提升监测能力。</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持续推进</w:t>
            </w:r>
          </w:p>
        </w:tc>
        <w:tc>
          <w:tcPr>
            <w:tcW w:w="3721" w:type="dxa"/>
            <w:gridSpan w:val="2"/>
            <w:vMerge/>
            <w:vAlign w:val="center"/>
          </w:tcPr>
          <w:p w:rsidR="001E3C3A" w:rsidRDefault="001E3C3A" w:rsidP="004C66F9"/>
        </w:tc>
      </w:tr>
      <w:tr w:rsidR="001E3C3A" w:rsidTr="004C66F9">
        <w:trPr>
          <w:trHeight w:val="463"/>
          <w:tblHeader/>
          <w:jc w:val="center"/>
        </w:trPr>
        <w:tc>
          <w:tcPr>
            <w:tcW w:w="1076" w:type="dxa"/>
            <w:vMerge w:val="restart"/>
            <w:vAlign w:val="center"/>
          </w:tcPr>
          <w:p w:rsidR="001E3C3A" w:rsidRDefault="001E3C3A" w:rsidP="004C66F9">
            <w:pPr>
              <w:adjustRightInd w:val="0"/>
              <w:snapToGrid w:val="0"/>
              <w:jc w:val="center"/>
              <w:rPr>
                <w:rFonts w:ascii="仿宋_GB2312"/>
                <w:color w:val="000000"/>
                <w:sz w:val="21"/>
                <w:szCs w:val="21"/>
              </w:rPr>
            </w:pPr>
          </w:p>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（二）加强地下水污染协同防治</w:t>
            </w:r>
          </w:p>
        </w:tc>
        <w:tc>
          <w:tcPr>
            <w:tcW w:w="1260" w:type="dxa"/>
            <w:vMerge w:val="restart"/>
            <w:vAlign w:val="center"/>
          </w:tcPr>
          <w:p w:rsidR="001E3C3A" w:rsidRDefault="001E3C3A" w:rsidP="004C66F9">
            <w:pPr>
              <w:adjustRightInd w:val="0"/>
              <w:snapToGrid w:val="0"/>
              <w:jc w:val="center"/>
              <w:rPr>
                <w:rFonts w:ascii="仿宋_GB2312" w:cs="宋体"/>
                <w:bCs/>
                <w:color w:val="000000"/>
                <w:sz w:val="21"/>
                <w:szCs w:val="21"/>
              </w:rPr>
            </w:pPr>
            <w:r>
              <w:rPr>
                <w:rFonts w:ascii="仿宋_GB2312" w:cs="宋体" w:hint="eastAsia"/>
                <w:bCs/>
                <w:color w:val="000000"/>
                <w:sz w:val="21"/>
                <w:szCs w:val="21"/>
              </w:rPr>
              <w:t>5.重视地表水、地下水污染协同防治</w:t>
            </w:r>
          </w:p>
        </w:tc>
        <w:tc>
          <w:tcPr>
            <w:tcW w:w="6869" w:type="dxa"/>
            <w:vAlign w:val="center"/>
          </w:tcPr>
          <w:p w:rsidR="001E3C3A" w:rsidRDefault="001E3C3A" w:rsidP="004C66F9">
            <w:pPr>
              <w:adjustRightInd w:val="0"/>
              <w:snapToGrid w:val="0"/>
              <w:rPr>
                <w:rFonts w:ascii="仿宋_GB2312" w:cs="宋体"/>
                <w:color w:val="000000"/>
                <w:w w:val="95"/>
                <w:sz w:val="21"/>
                <w:szCs w:val="21"/>
              </w:rPr>
            </w:pPr>
            <w:r>
              <w:rPr>
                <w:rFonts w:ascii="仿宋_GB2312" w:cs="宋体" w:hint="eastAsia"/>
                <w:color w:val="000000"/>
                <w:w w:val="95"/>
                <w:sz w:val="21"/>
                <w:szCs w:val="21"/>
              </w:rPr>
              <w:t>加快城镇污水管网更新改造，完善管网收集系统，减少管网渗漏。</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持续推进</w:t>
            </w:r>
          </w:p>
        </w:tc>
        <w:tc>
          <w:tcPr>
            <w:tcW w:w="1823"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市住建局负责</w:t>
            </w:r>
          </w:p>
        </w:tc>
        <w:tc>
          <w:tcPr>
            <w:tcW w:w="1898"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w:t>
            </w:r>
          </w:p>
        </w:tc>
      </w:tr>
      <w:tr w:rsidR="001E3C3A" w:rsidTr="004C66F9">
        <w:trPr>
          <w:trHeight w:val="2180"/>
          <w:tblHeader/>
          <w:jc w:val="center"/>
        </w:trPr>
        <w:tc>
          <w:tcPr>
            <w:tcW w:w="1076" w:type="dxa"/>
            <w:vMerge/>
            <w:vAlign w:val="center"/>
          </w:tcPr>
          <w:p w:rsidR="001E3C3A" w:rsidRDefault="001E3C3A" w:rsidP="004C66F9"/>
        </w:tc>
        <w:tc>
          <w:tcPr>
            <w:tcW w:w="1260" w:type="dxa"/>
            <w:vMerge/>
            <w:vAlign w:val="center"/>
          </w:tcPr>
          <w:p w:rsidR="001E3C3A" w:rsidRDefault="001E3C3A" w:rsidP="004C66F9">
            <w:pPr>
              <w:rPr>
                <w:bCs/>
              </w:rPr>
            </w:pPr>
          </w:p>
        </w:tc>
        <w:tc>
          <w:tcPr>
            <w:tcW w:w="6869" w:type="dxa"/>
            <w:vAlign w:val="center"/>
          </w:tcPr>
          <w:p w:rsidR="001E3C3A" w:rsidRDefault="001E3C3A" w:rsidP="004C66F9">
            <w:pPr>
              <w:adjustRightInd w:val="0"/>
              <w:snapToGrid w:val="0"/>
              <w:rPr>
                <w:rFonts w:ascii="仿宋_GB2312"/>
                <w:color w:val="000000"/>
                <w:sz w:val="21"/>
                <w:szCs w:val="21"/>
              </w:rPr>
            </w:pPr>
            <w:r>
              <w:rPr>
                <w:rFonts w:ascii="仿宋_GB2312" w:hint="eastAsia"/>
                <w:color w:val="000000"/>
                <w:sz w:val="21"/>
                <w:szCs w:val="21"/>
              </w:rPr>
              <w:t>市、县级人民政府应当统筹规划农业灌溉取水水源，大型灌区使用污水处理厂再生水的，应当严格执行《农田灌溉水质标准》（GB 5084）和《城市污水再生利用农田灌溉用水水质》（GB 20922），</w:t>
            </w:r>
            <w:r>
              <w:rPr>
                <w:rFonts w:ascii="仿宋_GB2312" w:hint="eastAsia"/>
                <w:sz w:val="21"/>
                <w:szCs w:val="21"/>
              </w:rPr>
              <w:t>且</w:t>
            </w:r>
            <w:r>
              <w:rPr>
                <w:rFonts w:ascii="仿宋_GB2312" w:hint="eastAsia"/>
                <w:color w:val="000000"/>
                <w:sz w:val="21"/>
                <w:szCs w:val="21"/>
              </w:rPr>
              <w:t>不低于《城镇污水处理厂污染物排放标准》（GB 18918）一级A排放标准要求；避免在土壤渗透性强、地下水位高、地下水露头区进行再生水灌溉；降低农业面源污染对地下水水质影响，积极推广测土配方施肥技术，积极发展生态农业。</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持续推进</w:t>
            </w:r>
          </w:p>
        </w:tc>
        <w:tc>
          <w:tcPr>
            <w:tcW w:w="3721" w:type="dxa"/>
            <w:gridSpan w:val="2"/>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市生态环境局、住建局、农业农村局按职责分工负责</w:t>
            </w:r>
          </w:p>
        </w:tc>
      </w:tr>
      <w:tr w:rsidR="001E3C3A" w:rsidTr="004C66F9">
        <w:trPr>
          <w:trHeight w:val="2885"/>
          <w:tblHeader/>
          <w:jc w:val="center"/>
        </w:trPr>
        <w:tc>
          <w:tcPr>
            <w:tcW w:w="1076" w:type="dxa"/>
            <w:vMerge/>
            <w:vAlign w:val="center"/>
          </w:tcPr>
          <w:p w:rsidR="001E3C3A" w:rsidRDefault="001E3C3A" w:rsidP="004C66F9">
            <w:pPr>
              <w:adjustRightInd w:val="0"/>
              <w:snapToGrid w:val="0"/>
              <w:jc w:val="center"/>
              <w:rPr>
                <w:rFonts w:ascii="仿宋_GB2312" w:cs="宋体"/>
                <w:color w:val="000000"/>
                <w:sz w:val="21"/>
                <w:szCs w:val="21"/>
              </w:rPr>
            </w:pPr>
          </w:p>
        </w:tc>
        <w:tc>
          <w:tcPr>
            <w:tcW w:w="1260" w:type="dxa"/>
            <w:vAlign w:val="center"/>
          </w:tcPr>
          <w:p w:rsidR="001E3C3A" w:rsidRDefault="001E3C3A" w:rsidP="004C66F9">
            <w:pPr>
              <w:adjustRightInd w:val="0"/>
              <w:snapToGrid w:val="0"/>
              <w:jc w:val="center"/>
              <w:rPr>
                <w:rFonts w:ascii="仿宋_GB2312" w:cs="宋体"/>
                <w:bCs/>
                <w:color w:val="000000"/>
                <w:sz w:val="21"/>
                <w:szCs w:val="21"/>
              </w:rPr>
            </w:pPr>
            <w:r>
              <w:rPr>
                <w:rFonts w:ascii="仿宋_GB2312" w:cs="宋体" w:hint="eastAsia"/>
                <w:bCs/>
                <w:color w:val="000000"/>
                <w:sz w:val="21"/>
                <w:szCs w:val="21"/>
              </w:rPr>
              <w:t>6．强化土壤、地下水污染协同防治</w:t>
            </w:r>
          </w:p>
        </w:tc>
        <w:tc>
          <w:tcPr>
            <w:tcW w:w="6869"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严格落实《中华人民共和国土壤污染防治法》、“土十条”等有关地下水污染防治的要求。各地要进一步加强土壤污染调查工作与地下水污染防治工作的协同，对安全利用类和严格管控类农用地地块的土壤污染影响或可能影响地下水的，制定污染防治方案时，应纳入地下水的内容；对污染物含量超过土壤污染风险管控标准的建设用地地块，土壤污染状况调查报告应当包括地下水是否受到污染等内容；对列入风险管控和修复名录中的建设用地地块，实施风险管控措施应包括地下水污染防治的内容；实施修复的地块，修复方案应当包括地下水污染修复的内容。在防治项目立项、实施以及绩效评估等环节上，要将土壤和地下水污染防治统筹安排、同步考虑、同步落实。</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持续推进</w:t>
            </w:r>
          </w:p>
        </w:tc>
        <w:tc>
          <w:tcPr>
            <w:tcW w:w="1823"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市生态环境局</w:t>
            </w:r>
          </w:p>
        </w:tc>
        <w:tc>
          <w:tcPr>
            <w:tcW w:w="1898"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市农业农村局、自然资源局、城管局等</w:t>
            </w:r>
          </w:p>
        </w:tc>
      </w:tr>
      <w:tr w:rsidR="001E3C3A" w:rsidTr="004C66F9">
        <w:trPr>
          <w:trHeight w:val="914"/>
          <w:tblHeader/>
          <w:jc w:val="center"/>
        </w:trPr>
        <w:tc>
          <w:tcPr>
            <w:tcW w:w="1076" w:type="dxa"/>
            <w:vMerge/>
            <w:vAlign w:val="center"/>
          </w:tcPr>
          <w:p w:rsidR="001E3C3A" w:rsidRDefault="001E3C3A" w:rsidP="004C66F9"/>
        </w:tc>
        <w:tc>
          <w:tcPr>
            <w:tcW w:w="1260" w:type="dxa"/>
            <w:vMerge w:val="restart"/>
            <w:vAlign w:val="center"/>
          </w:tcPr>
          <w:p w:rsidR="001E3C3A" w:rsidRDefault="001E3C3A" w:rsidP="004C66F9">
            <w:pPr>
              <w:adjustRightInd w:val="0"/>
              <w:snapToGrid w:val="0"/>
              <w:jc w:val="center"/>
              <w:rPr>
                <w:rFonts w:ascii="仿宋_GB2312" w:cs="宋体"/>
                <w:bCs/>
                <w:color w:val="000000"/>
                <w:sz w:val="21"/>
                <w:szCs w:val="21"/>
              </w:rPr>
            </w:pPr>
            <w:r>
              <w:rPr>
                <w:rFonts w:ascii="仿宋_GB2312" w:cs="宋体" w:hint="eastAsia"/>
                <w:bCs/>
                <w:color w:val="000000"/>
                <w:sz w:val="21"/>
                <w:szCs w:val="21"/>
              </w:rPr>
              <w:t>7．加强区域与场地地下水污</w:t>
            </w:r>
            <w:r>
              <w:rPr>
                <w:rFonts w:ascii="仿宋_GB2312" w:cs="宋体" w:hint="eastAsia"/>
                <w:bCs/>
                <w:color w:val="000000"/>
                <w:sz w:val="21"/>
                <w:szCs w:val="21"/>
              </w:rPr>
              <w:lastRenderedPageBreak/>
              <w:t>染协同防治</w:t>
            </w:r>
          </w:p>
        </w:tc>
        <w:tc>
          <w:tcPr>
            <w:tcW w:w="6869" w:type="dxa"/>
            <w:vAlign w:val="center"/>
          </w:tcPr>
          <w:p w:rsidR="001E3C3A" w:rsidRDefault="001E3C3A" w:rsidP="004C66F9">
            <w:pPr>
              <w:adjustRightInd w:val="0"/>
              <w:snapToGrid w:val="0"/>
              <w:rPr>
                <w:rFonts w:ascii="仿宋_GB2312" w:cs="宋体"/>
                <w:color w:val="000000"/>
                <w:sz w:val="21"/>
                <w:szCs w:val="21"/>
              </w:rPr>
            </w:pPr>
          </w:p>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全面开展地下水污染分区划分，提出地下水污染分区防治措施，实施地下水污染源分类监管。地下水污染防治分区划分技术要求见附件2。</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p>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2020年起</w:t>
            </w:r>
          </w:p>
        </w:tc>
        <w:tc>
          <w:tcPr>
            <w:tcW w:w="3721" w:type="dxa"/>
            <w:gridSpan w:val="2"/>
            <w:vMerge w:val="restart"/>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市生态环境局、自然资源局、农业农村局等按职责分工负责</w:t>
            </w:r>
          </w:p>
        </w:tc>
      </w:tr>
      <w:tr w:rsidR="001E3C3A" w:rsidTr="004C66F9">
        <w:trPr>
          <w:trHeight w:val="411"/>
          <w:tblHeader/>
          <w:jc w:val="center"/>
        </w:trPr>
        <w:tc>
          <w:tcPr>
            <w:tcW w:w="1076" w:type="dxa"/>
            <w:vMerge/>
            <w:vAlign w:val="center"/>
          </w:tcPr>
          <w:p w:rsidR="001E3C3A" w:rsidRDefault="001E3C3A" w:rsidP="004C66F9"/>
        </w:tc>
        <w:tc>
          <w:tcPr>
            <w:tcW w:w="1260" w:type="dxa"/>
            <w:vMerge/>
            <w:vAlign w:val="center"/>
          </w:tcPr>
          <w:p w:rsidR="001E3C3A" w:rsidRDefault="001E3C3A" w:rsidP="004C66F9">
            <w:pPr>
              <w:rPr>
                <w:bCs/>
              </w:rPr>
            </w:pPr>
          </w:p>
        </w:tc>
        <w:tc>
          <w:tcPr>
            <w:tcW w:w="6869"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优先选择因非法排放水污染物造成地下水含水层直接污染，或已完成土壤修复尚未开展地下水污染修复防控工作的场地，开展地下水污染修复（防控）工作。</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持续推进</w:t>
            </w:r>
          </w:p>
        </w:tc>
        <w:tc>
          <w:tcPr>
            <w:tcW w:w="3721" w:type="dxa"/>
            <w:gridSpan w:val="2"/>
            <w:vMerge/>
            <w:vAlign w:val="center"/>
          </w:tcPr>
          <w:p w:rsidR="001E3C3A" w:rsidRDefault="001E3C3A" w:rsidP="004C66F9"/>
        </w:tc>
      </w:tr>
      <w:tr w:rsidR="001E3C3A" w:rsidTr="004C66F9">
        <w:trPr>
          <w:trHeight w:val="1051"/>
          <w:tblHeader/>
          <w:jc w:val="center"/>
        </w:trPr>
        <w:tc>
          <w:tcPr>
            <w:tcW w:w="1076" w:type="dxa"/>
            <w:vMerge w:val="restart"/>
            <w:vAlign w:val="center"/>
          </w:tcPr>
          <w:p w:rsidR="001E3C3A" w:rsidRDefault="001E3C3A" w:rsidP="004C66F9">
            <w:pPr>
              <w:adjustRightInd w:val="0"/>
              <w:snapToGrid w:val="0"/>
              <w:jc w:val="center"/>
              <w:rPr>
                <w:rFonts w:ascii="仿宋_GB2312"/>
                <w:sz w:val="21"/>
                <w:szCs w:val="21"/>
              </w:rPr>
            </w:pPr>
            <w:r>
              <w:rPr>
                <w:rFonts w:ascii="仿宋_GB2312" w:hint="eastAsia"/>
                <w:color w:val="000000"/>
                <w:sz w:val="21"/>
                <w:szCs w:val="21"/>
              </w:rPr>
              <w:lastRenderedPageBreak/>
              <w:t>（三） 推进重点污染源风险防控</w:t>
            </w:r>
          </w:p>
        </w:tc>
        <w:tc>
          <w:tcPr>
            <w:tcW w:w="1260" w:type="dxa"/>
            <w:vMerge w:val="restart"/>
            <w:vAlign w:val="center"/>
          </w:tcPr>
          <w:p w:rsidR="001E3C3A" w:rsidRDefault="001E3C3A" w:rsidP="004C66F9">
            <w:pPr>
              <w:adjustRightInd w:val="0"/>
              <w:snapToGrid w:val="0"/>
              <w:jc w:val="center"/>
              <w:rPr>
                <w:rFonts w:ascii="仿宋_GB2312" w:cs="宋体"/>
                <w:bCs/>
                <w:color w:val="000000"/>
                <w:sz w:val="21"/>
                <w:szCs w:val="21"/>
              </w:rPr>
            </w:pPr>
            <w:r>
              <w:rPr>
                <w:rFonts w:ascii="仿宋_GB2312" w:cs="宋体" w:hint="eastAsia"/>
                <w:bCs/>
                <w:color w:val="000000"/>
                <w:sz w:val="21"/>
                <w:szCs w:val="21"/>
              </w:rPr>
              <w:t>8．持续推进地下水基础环境状况调查</w:t>
            </w:r>
          </w:p>
        </w:tc>
        <w:tc>
          <w:tcPr>
            <w:tcW w:w="6869"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针对化工企业、加油站、垃圾填埋场和危险废物处置场等开展周边地下水基础环境状况调查。</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持续推进</w:t>
            </w:r>
          </w:p>
        </w:tc>
        <w:tc>
          <w:tcPr>
            <w:tcW w:w="1823" w:type="dxa"/>
            <w:vMerge w:val="restart"/>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市生态环境局</w:t>
            </w:r>
          </w:p>
          <w:p w:rsidR="001E3C3A" w:rsidRDefault="001E3C3A" w:rsidP="004C66F9">
            <w:pPr>
              <w:adjustRightInd w:val="0"/>
              <w:snapToGrid w:val="0"/>
              <w:jc w:val="center"/>
              <w:rPr>
                <w:rFonts w:ascii="仿宋_GB2312" w:cs="宋体"/>
                <w:color w:val="000000"/>
                <w:sz w:val="21"/>
                <w:szCs w:val="21"/>
              </w:rPr>
            </w:pPr>
          </w:p>
          <w:p w:rsidR="001E3C3A" w:rsidRDefault="001E3C3A" w:rsidP="004C66F9">
            <w:pPr>
              <w:adjustRightInd w:val="0"/>
              <w:snapToGrid w:val="0"/>
              <w:jc w:val="center"/>
              <w:rPr>
                <w:rFonts w:ascii="仿宋_GB2312" w:cs="宋体"/>
                <w:color w:val="000000"/>
                <w:sz w:val="21"/>
                <w:szCs w:val="21"/>
              </w:rPr>
            </w:pPr>
          </w:p>
        </w:tc>
        <w:tc>
          <w:tcPr>
            <w:tcW w:w="1898" w:type="dxa"/>
            <w:vMerge w:val="restart"/>
            <w:vAlign w:val="center"/>
          </w:tcPr>
          <w:p w:rsidR="001E3C3A" w:rsidRDefault="001E3C3A" w:rsidP="004C66F9">
            <w:pPr>
              <w:adjustRightInd w:val="0"/>
              <w:snapToGrid w:val="0"/>
              <w:rPr>
                <w:rFonts w:ascii="仿宋_GB2312" w:cs="宋体"/>
                <w:color w:val="000000"/>
                <w:sz w:val="21"/>
                <w:szCs w:val="21"/>
              </w:rPr>
            </w:pPr>
            <w:r>
              <w:rPr>
                <w:rFonts w:ascii="仿宋_GB2312" w:hint="eastAsia"/>
                <w:color w:val="000000"/>
                <w:sz w:val="21"/>
                <w:szCs w:val="21"/>
              </w:rPr>
              <w:t>市自然资源局、工信局、商务局、城管局</w:t>
            </w:r>
            <w:r>
              <w:rPr>
                <w:rFonts w:ascii="仿宋_GB2312" w:cs="宋体" w:hint="eastAsia"/>
                <w:color w:val="000000"/>
                <w:sz w:val="21"/>
                <w:szCs w:val="21"/>
              </w:rPr>
              <w:t>等按职责分工负责</w:t>
            </w:r>
          </w:p>
          <w:p w:rsidR="001E3C3A" w:rsidRDefault="001E3C3A" w:rsidP="004C66F9">
            <w:pPr>
              <w:adjustRightInd w:val="0"/>
              <w:snapToGrid w:val="0"/>
              <w:rPr>
                <w:rFonts w:ascii="仿宋_GB2312"/>
                <w:sz w:val="21"/>
                <w:szCs w:val="21"/>
              </w:rPr>
            </w:pPr>
          </w:p>
        </w:tc>
      </w:tr>
      <w:tr w:rsidR="001E3C3A" w:rsidTr="004C66F9">
        <w:trPr>
          <w:trHeight w:val="824"/>
          <w:tblHeader/>
          <w:jc w:val="center"/>
        </w:trPr>
        <w:tc>
          <w:tcPr>
            <w:tcW w:w="1076" w:type="dxa"/>
            <w:vMerge/>
            <w:vAlign w:val="center"/>
          </w:tcPr>
          <w:p w:rsidR="001E3C3A" w:rsidRDefault="001E3C3A" w:rsidP="004C66F9"/>
        </w:tc>
        <w:tc>
          <w:tcPr>
            <w:tcW w:w="1260" w:type="dxa"/>
            <w:vMerge/>
            <w:vAlign w:val="center"/>
          </w:tcPr>
          <w:p w:rsidR="001E3C3A" w:rsidRDefault="001E3C3A" w:rsidP="004C66F9">
            <w:pPr>
              <w:rPr>
                <w:bCs/>
              </w:rPr>
            </w:pPr>
          </w:p>
        </w:tc>
        <w:tc>
          <w:tcPr>
            <w:tcW w:w="6869"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其中，垃圾填埋场和危险废物处置场等区域周边调查要于2019年启动，重点是填埋类危险废物处置场和已停运的或投运十年以上的或已发现存在渗漏问题的垃圾填埋场。</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2019年</w:t>
            </w:r>
          </w:p>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启动</w:t>
            </w:r>
          </w:p>
        </w:tc>
        <w:tc>
          <w:tcPr>
            <w:tcW w:w="1823" w:type="dxa"/>
            <w:vMerge/>
            <w:vAlign w:val="center"/>
          </w:tcPr>
          <w:p w:rsidR="001E3C3A" w:rsidRDefault="001E3C3A" w:rsidP="004C66F9">
            <w:pPr>
              <w:adjustRightInd w:val="0"/>
              <w:snapToGrid w:val="0"/>
              <w:jc w:val="center"/>
              <w:rPr>
                <w:rFonts w:ascii="仿宋_GB2312" w:cs="宋体"/>
                <w:color w:val="000000"/>
                <w:sz w:val="21"/>
                <w:szCs w:val="21"/>
              </w:rPr>
            </w:pPr>
          </w:p>
        </w:tc>
        <w:tc>
          <w:tcPr>
            <w:tcW w:w="1898" w:type="dxa"/>
            <w:vMerge/>
            <w:vAlign w:val="center"/>
          </w:tcPr>
          <w:p w:rsidR="001E3C3A" w:rsidRDefault="001E3C3A" w:rsidP="004C66F9">
            <w:pPr>
              <w:adjustRightInd w:val="0"/>
              <w:snapToGrid w:val="0"/>
              <w:rPr>
                <w:rFonts w:ascii="仿宋_GB2312" w:cs="宋体"/>
                <w:color w:val="000000"/>
                <w:sz w:val="21"/>
                <w:szCs w:val="21"/>
              </w:rPr>
            </w:pPr>
          </w:p>
        </w:tc>
      </w:tr>
      <w:tr w:rsidR="001E3C3A" w:rsidTr="004C66F9">
        <w:trPr>
          <w:trHeight w:val="558"/>
          <w:tblHeader/>
          <w:jc w:val="center"/>
        </w:trPr>
        <w:tc>
          <w:tcPr>
            <w:tcW w:w="1076" w:type="dxa"/>
            <w:vMerge/>
            <w:vAlign w:val="center"/>
          </w:tcPr>
          <w:p w:rsidR="001E3C3A" w:rsidRDefault="001E3C3A" w:rsidP="004C66F9"/>
        </w:tc>
        <w:tc>
          <w:tcPr>
            <w:tcW w:w="1260" w:type="dxa"/>
            <w:vMerge/>
            <w:vAlign w:val="center"/>
          </w:tcPr>
          <w:p w:rsidR="001E3C3A" w:rsidRDefault="001E3C3A" w:rsidP="004C66F9">
            <w:pPr>
              <w:rPr>
                <w:bCs/>
              </w:rPr>
            </w:pPr>
          </w:p>
        </w:tc>
        <w:tc>
          <w:tcPr>
            <w:tcW w:w="6869"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其中，化工园区及纳入重点环境风险防控清单的化工企业周边调查要于2020年启动。</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2020年</w:t>
            </w:r>
          </w:p>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启动</w:t>
            </w:r>
          </w:p>
        </w:tc>
        <w:tc>
          <w:tcPr>
            <w:tcW w:w="1823" w:type="dxa"/>
            <w:vMerge/>
            <w:vAlign w:val="center"/>
          </w:tcPr>
          <w:p w:rsidR="001E3C3A" w:rsidRDefault="001E3C3A" w:rsidP="004C66F9">
            <w:pPr>
              <w:adjustRightInd w:val="0"/>
              <w:snapToGrid w:val="0"/>
              <w:jc w:val="center"/>
              <w:rPr>
                <w:rFonts w:ascii="仿宋_GB2312" w:cs="宋体"/>
                <w:color w:val="000000"/>
                <w:sz w:val="21"/>
                <w:szCs w:val="21"/>
              </w:rPr>
            </w:pPr>
          </w:p>
        </w:tc>
        <w:tc>
          <w:tcPr>
            <w:tcW w:w="1898" w:type="dxa"/>
            <w:vMerge/>
            <w:vAlign w:val="center"/>
          </w:tcPr>
          <w:p w:rsidR="001E3C3A" w:rsidRDefault="001E3C3A" w:rsidP="004C66F9">
            <w:pPr>
              <w:adjustRightInd w:val="0"/>
              <w:snapToGrid w:val="0"/>
              <w:rPr>
                <w:rFonts w:ascii="仿宋_GB2312"/>
                <w:sz w:val="21"/>
                <w:szCs w:val="21"/>
              </w:rPr>
            </w:pPr>
          </w:p>
        </w:tc>
      </w:tr>
      <w:tr w:rsidR="001E3C3A" w:rsidTr="004C66F9">
        <w:trPr>
          <w:trHeight w:val="662"/>
          <w:tblHeader/>
          <w:jc w:val="center"/>
        </w:trPr>
        <w:tc>
          <w:tcPr>
            <w:tcW w:w="1076" w:type="dxa"/>
            <w:vMerge/>
            <w:vAlign w:val="center"/>
          </w:tcPr>
          <w:p w:rsidR="001E3C3A" w:rsidRDefault="001E3C3A" w:rsidP="004C66F9"/>
        </w:tc>
        <w:tc>
          <w:tcPr>
            <w:tcW w:w="1260" w:type="dxa"/>
            <w:vMerge/>
            <w:vAlign w:val="center"/>
          </w:tcPr>
          <w:p w:rsidR="001E3C3A" w:rsidRDefault="001E3C3A" w:rsidP="004C66F9">
            <w:pPr>
              <w:rPr>
                <w:bCs/>
              </w:rPr>
            </w:pPr>
          </w:p>
        </w:tc>
        <w:tc>
          <w:tcPr>
            <w:tcW w:w="6869"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针对存在人为污染的地下水，开展详细调查，评估其污染趋势和健康风险，若风险不可接受，应开展地下水污染修复（防控）工作。</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持续推进</w:t>
            </w:r>
          </w:p>
        </w:tc>
        <w:tc>
          <w:tcPr>
            <w:tcW w:w="1823"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市生态环境局</w:t>
            </w:r>
          </w:p>
        </w:tc>
        <w:tc>
          <w:tcPr>
            <w:tcW w:w="1898"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市卫健委、自然资源局、农业农村局等</w:t>
            </w:r>
          </w:p>
        </w:tc>
      </w:tr>
      <w:tr w:rsidR="001E3C3A" w:rsidTr="004C66F9">
        <w:trPr>
          <w:trHeight w:val="634"/>
          <w:tblHeader/>
          <w:jc w:val="center"/>
        </w:trPr>
        <w:tc>
          <w:tcPr>
            <w:tcW w:w="1076" w:type="dxa"/>
            <w:vMerge/>
            <w:vAlign w:val="center"/>
          </w:tcPr>
          <w:p w:rsidR="001E3C3A" w:rsidRDefault="001E3C3A" w:rsidP="004C66F9"/>
        </w:tc>
        <w:tc>
          <w:tcPr>
            <w:tcW w:w="1260" w:type="dxa"/>
            <w:vMerge/>
            <w:vAlign w:val="center"/>
          </w:tcPr>
          <w:p w:rsidR="001E3C3A" w:rsidRDefault="001E3C3A" w:rsidP="004C66F9">
            <w:pPr>
              <w:rPr>
                <w:bCs/>
              </w:rPr>
            </w:pPr>
          </w:p>
        </w:tc>
        <w:tc>
          <w:tcPr>
            <w:tcW w:w="6869"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完成加油站埋地油罐双层罐更新或防渗池设置，按照加油站防渗改造核查标准，督促指导相关企业开展自查并对存在的问题进行整改。</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2020年</w:t>
            </w:r>
          </w:p>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6月底前</w:t>
            </w:r>
          </w:p>
        </w:tc>
        <w:tc>
          <w:tcPr>
            <w:tcW w:w="1823"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市生态环境局</w:t>
            </w:r>
          </w:p>
        </w:tc>
        <w:tc>
          <w:tcPr>
            <w:tcW w:w="1898"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市商务局、应急局参与</w:t>
            </w:r>
          </w:p>
        </w:tc>
      </w:tr>
      <w:tr w:rsidR="001E3C3A" w:rsidTr="004C66F9">
        <w:trPr>
          <w:trHeight w:val="968"/>
          <w:tblHeader/>
          <w:jc w:val="center"/>
        </w:trPr>
        <w:tc>
          <w:tcPr>
            <w:tcW w:w="1076" w:type="dxa"/>
            <w:vMerge/>
            <w:vAlign w:val="center"/>
          </w:tcPr>
          <w:p w:rsidR="001E3C3A" w:rsidRDefault="001E3C3A" w:rsidP="004C66F9"/>
        </w:tc>
        <w:tc>
          <w:tcPr>
            <w:tcW w:w="1260" w:type="dxa"/>
            <w:vMerge/>
            <w:vAlign w:val="center"/>
          </w:tcPr>
          <w:p w:rsidR="001E3C3A" w:rsidRDefault="001E3C3A" w:rsidP="004C66F9">
            <w:pPr>
              <w:rPr>
                <w:bCs/>
              </w:rPr>
            </w:pPr>
          </w:p>
        </w:tc>
        <w:tc>
          <w:tcPr>
            <w:tcW w:w="6869"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对高风险的化学品生产企业以及工业集聚区、矿山开采区、危险废物处置场、垃圾填埋场等可能造成地下水污染的场地开展摸排，开展必要的防渗处理。</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2020年年底前</w:t>
            </w:r>
          </w:p>
        </w:tc>
        <w:tc>
          <w:tcPr>
            <w:tcW w:w="1823"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市生态环境局</w:t>
            </w:r>
          </w:p>
        </w:tc>
        <w:tc>
          <w:tcPr>
            <w:tcW w:w="1898" w:type="dxa"/>
            <w:vAlign w:val="center"/>
          </w:tcPr>
          <w:p w:rsidR="001E3C3A" w:rsidRDefault="001E3C3A" w:rsidP="004C66F9">
            <w:pPr>
              <w:adjustRightInd w:val="0"/>
              <w:snapToGrid w:val="0"/>
              <w:rPr>
                <w:rFonts w:ascii="仿宋_GB2312"/>
                <w:color w:val="000000"/>
                <w:sz w:val="21"/>
                <w:szCs w:val="21"/>
              </w:rPr>
            </w:pPr>
            <w:r>
              <w:rPr>
                <w:rFonts w:ascii="仿宋_GB2312" w:hint="eastAsia"/>
                <w:color w:val="000000"/>
                <w:sz w:val="21"/>
                <w:szCs w:val="21"/>
              </w:rPr>
              <w:t>市自然资源局、城管局、住建局等</w:t>
            </w:r>
          </w:p>
        </w:tc>
      </w:tr>
      <w:tr w:rsidR="001E3C3A" w:rsidTr="004C66F9">
        <w:trPr>
          <w:trHeight w:val="1217"/>
          <w:tblHeader/>
          <w:jc w:val="center"/>
        </w:trPr>
        <w:tc>
          <w:tcPr>
            <w:tcW w:w="1076" w:type="dxa"/>
            <w:vMerge/>
            <w:vAlign w:val="center"/>
          </w:tcPr>
          <w:p w:rsidR="001E3C3A" w:rsidRDefault="001E3C3A" w:rsidP="004C66F9"/>
        </w:tc>
        <w:tc>
          <w:tcPr>
            <w:tcW w:w="1260" w:type="dxa"/>
            <w:vMerge/>
            <w:vAlign w:val="center"/>
          </w:tcPr>
          <w:p w:rsidR="001E3C3A" w:rsidRDefault="001E3C3A" w:rsidP="004C66F9">
            <w:pPr>
              <w:rPr>
                <w:bCs/>
              </w:rPr>
            </w:pPr>
          </w:p>
        </w:tc>
        <w:tc>
          <w:tcPr>
            <w:tcW w:w="6869"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按照国家地下水污染场地清单公布办法和要求，公布环境风险大、严重影响公众健康的地下水污染场地清单，适时开展修复试点。地下水污染场地清单公布技术要求见附件3。</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持续推进</w:t>
            </w:r>
          </w:p>
        </w:tc>
        <w:tc>
          <w:tcPr>
            <w:tcW w:w="1823"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市生态环境局</w:t>
            </w:r>
          </w:p>
        </w:tc>
        <w:tc>
          <w:tcPr>
            <w:tcW w:w="1898"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市自然资源局、城管局、卫健委</w:t>
            </w:r>
          </w:p>
        </w:tc>
      </w:tr>
      <w:tr w:rsidR="001E3C3A" w:rsidTr="004C66F9">
        <w:trPr>
          <w:trHeight w:val="590"/>
          <w:tblHeader/>
          <w:jc w:val="center"/>
        </w:trPr>
        <w:tc>
          <w:tcPr>
            <w:tcW w:w="2336" w:type="dxa"/>
            <w:gridSpan w:val="2"/>
            <w:vAlign w:val="center"/>
          </w:tcPr>
          <w:p w:rsidR="001E3C3A" w:rsidRDefault="001E3C3A" w:rsidP="004C66F9">
            <w:pPr>
              <w:adjustRightInd w:val="0"/>
              <w:snapToGrid w:val="0"/>
              <w:jc w:val="center"/>
              <w:rPr>
                <w:rFonts w:ascii="仿宋_GB2312"/>
                <w:bCs/>
                <w:sz w:val="21"/>
                <w:szCs w:val="21"/>
              </w:rPr>
            </w:pPr>
            <w:r>
              <w:rPr>
                <w:rFonts w:ascii="仿宋_GB2312" w:hint="eastAsia"/>
                <w:bCs/>
                <w:color w:val="000000"/>
                <w:sz w:val="21"/>
                <w:szCs w:val="21"/>
              </w:rPr>
              <w:t>主要任务</w:t>
            </w:r>
          </w:p>
        </w:tc>
        <w:tc>
          <w:tcPr>
            <w:tcW w:w="6869" w:type="dxa"/>
            <w:vAlign w:val="center"/>
          </w:tcPr>
          <w:p w:rsidR="001E3C3A" w:rsidRDefault="001E3C3A" w:rsidP="004C66F9">
            <w:pPr>
              <w:adjustRightInd w:val="0"/>
              <w:snapToGrid w:val="0"/>
              <w:jc w:val="center"/>
              <w:rPr>
                <w:rFonts w:ascii="仿宋_GB2312"/>
                <w:b/>
                <w:bCs/>
                <w:sz w:val="21"/>
                <w:szCs w:val="21"/>
              </w:rPr>
            </w:pPr>
            <w:r>
              <w:rPr>
                <w:rFonts w:ascii="仿宋_GB2312" w:hint="eastAsia"/>
                <w:b/>
                <w:bCs/>
                <w:color w:val="000000"/>
                <w:sz w:val="21"/>
                <w:szCs w:val="21"/>
              </w:rPr>
              <w:t>具体工作要求</w:t>
            </w:r>
          </w:p>
        </w:tc>
        <w:tc>
          <w:tcPr>
            <w:tcW w:w="1259" w:type="dxa"/>
            <w:vAlign w:val="center"/>
          </w:tcPr>
          <w:p w:rsidR="001E3C3A" w:rsidRDefault="001E3C3A" w:rsidP="004C66F9">
            <w:pPr>
              <w:adjustRightInd w:val="0"/>
              <w:snapToGrid w:val="0"/>
              <w:jc w:val="center"/>
              <w:rPr>
                <w:rFonts w:ascii="仿宋_GB2312"/>
                <w:b/>
                <w:bCs/>
                <w:sz w:val="21"/>
                <w:szCs w:val="21"/>
              </w:rPr>
            </w:pPr>
            <w:r>
              <w:rPr>
                <w:rFonts w:ascii="仿宋_GB2312" w:hint="eastAsia"/>
                <w:b/>
                <w:bCs/>
                <w:color w:val="000000"/>
                <w:sz w:val="21"/>
                <w:szCs w:val="21"/>
              </w:rPr>
              <w:t>时限要求</w:t>
            </w:r>
          </w:p>
        </w:tc>
        <w:tc>
          <w:tcPr>
            <w:tcW w:w="1823" w:type="dxa"/>
            <w:vAlign w:val="center"/>
          </w:tcPr>
          <w:p w:rsidR="001E3C3A" w:rsidRDefault="001E3C3A" w:rsidP="004C66F9">
            <w:pPr>
              <w:adjustRightInd w:val="0"/>
              <w:snapToGrid w:val="0"/>
              <w:jc w:val="center"/>
              <w:rPr>
                <w:rFonts w:ascii="仿宋_GB2312"/>
                <w:b/>
                <w:bCs/>
                <w:sz w:val="21"/>
                <w:szCs w:val="21"/>
              </w:rPr>
            </w:pPr>
            <w:r>
              <w:rPr>
                <w:rFonts w:ascii="仿宋_GB2312" w:hint="eastAsia"/>
                <w:b/>
                <w:bCs/>
                <w:color w:val="000000"/>
                <w:sz w:val="21"/>
                <w:szCs w:val="21"/>
              </w:rPr>
              <w:t>牵头单位</w:t>
            </w:r>
          </w:p>
        </w:tc>
        <w:tc>
          <w:tcPr>
            <w:tcW w:w="1898" w:type="dxa"/>
            <w:vAlign w:val="center"/>
          </w:tcPr>
          <w:p w:rsidR="001E3C3A" w:rsidRDefault="001E3C3A" w:rsidP="004C66F9">
            <w:pPr>
              <w:adjustRightInd w:val="0"/>
              <w:snapToGrid w:val="0"/>
              <w:jc w:val="center"/>
              <w:rPr>
                <w:rFonts w:ascii="仿宋_GB2312"/>
                <w:b/>
                <w:bCs/>
                <w:sz w:val="21"/>
                <w:szCs w:val="21"/>
              </w:rPr>
            </w:pPr>
            <w:r>
              <w:rPr>
                <w:rFonts w:ascii="仿宋_GB2312" w:hint="eastAsia"/>
                <w:b/>
                <w:bCs/>
                <w:color w:val="000000"/>
                <w:sz w:val="21"/>
                <w:szCs w:val="21"/>
              </w:rPr>
              <w:t>参与单位</w:t>
            </w:r>
          </w:p>
        </w:tc>
      </w:tr>
      <w:tr w:rsidR="001E3C3A" w:rsidTr="004C66F9">
        <w:trPr>
          <w:trHeight w:val="435"/>
          <w:tblHeader/>
          <w:jc w:val="center"/>
        </w:trPr>
        <w:tc>
          <w:tcPr>
            <w:tcW w:w="1076" w:type="dxa"/>
            <w:vMerge w:val="restart"/>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（四） 推</w:t>
            </w:r>
            <w:r>
              <w:rPr>
                <w:rFonts w:ascii="仿宋_GB2312" w:cs="宋体" w:hint="eastAsia"/>
                <w:color w:val="000000"/>
                <w:sz w:val="21"/>
                <w:szCs w:val="21"/>
              </w:rPr>
              <w:lastRenderedPageBreak/>
              <w:t>进重点污染源风险防控</w:t>
            </w:r>
          </w:p>
        </w:tc>
        <w:tc>
          <w:tcPr>
            <w:tcW w:w="1260" w:type="dxa"/>
            <w:vMerge w:val="restart"/>
            <w:vAlign w:val="center"/>
          </w:tcPr>
          <w:p w:rsidR="001E3C3A" w:rsidRDefault="001E3C3A" w:rsidP="004C66F9">
            <w:pPr>
              <w:adjustRightInd w:val="0"/>
              <w:snapToGrid w:val="0"/>
              <w:jc w:val="center"/>
              <w:rPr>
                <w:rFonts w:ascii="仿宋_GB2312"/>
                <w:bCs/>
                <w:sz w:val="21"/>
                <w:szCs w:val="21"/>
              </w:rPr>
            </w:pPr>
            <w:r>
              <w:rPr>
                <w:rFonts w:ascii="仿宋_GB2312" w:hint="eastAsia"/>
                <w:bCs/>
                <w:color w:val="000000"/>
                <w:sz w:val="21"/>
                <w:szCs w:val="21"/>
              </w:rPr>
              <w:lastRenderedPageBreak/>
              <w:t>9．落实“水</w:t>
            </w:r>
            <w:r>
              <w:rPr>
                <w:rFonts w:ascii="仿宋_GB2312" w:hint="eastAsia"/>
                <w:bCs/>
                <w:color w:val="000000"/>
                <w:sz w:val="21"/>
                <w:szCs w:val="21"/>
              </w:rPr>
              <w:lastRenderedPageBreak/>
              <w:t>十条”任务，持续推进地下水基础环境状况调查</w:t>
            </w:r>
          </w:p>
        </w:tc>
        <w:tc>
          <w:tcPr>
            <w:tcW w:w="6869"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lastRenderedPageBreak/>
              <w:t>组织开展报废矿井、钻井、取水井排查登记。</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2019年</w:t>
            </w:r>
          </w:p>
        </w:tc>
        <w:tc>
          <w:tcPr>
            <w:tcW w:w="1823" w:type="dxa"/>
            <w:vMerge w:val="restart"/>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市自然资源局、水</w:t>
            </w:r>
            <w:r>
              <w:rPr>
                <w:rFonts w:ascii="仿宋_GB2312" w:cs="宋体" w:hint="eastAsia"/>
                <w:color w:val="000000"/>
                <w:sz w:val="21"/>
                <w:szCs w:val="21"/>
              </w:rPr>
              <w:lastRenderedPageBreak/>
              <w:t>利局、住建局按职责分工牵头</w:t>
            </w:r>
          </w:p>
        </w:tc>
        <w:tc>
          <w:tcPr>
            <w:tcW w:w="1898" w:type="dxa"/>
            <w:vMerge w:val="restart"/>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lastRenderedPageBreak/>
              <w:t>市生态环境局</w:t>
            </w:r>
          </w:p>
        </w:tc>
      </w:tr>
      <w:tr w:rsidR="001E3C3A" w:rsidTr="004C66F9">
        <w:trPr>
          <w:trHeight w:val="946"/>
          <w:tblHeader/>
          <w:jc w:val="center"/>
        </w:trPr>
        <w:tc>
          <w:tcPr>
            <w:tcW w:w="1076" w:type="dxa"/>
            <w:vMerge/>
            <w:vAlign w:val="center"/>
          </w:tcPr>
          <w:p w:rsidR="001E3C3A" w:rsidRDefault="001E3C3A" w:rsidP="004C66F9"/>
        </w:tc>
        <w:tc>
          <w:tcPr>
            <w:tcW w:w="1260" w:type="dxa"/>
            <w:vMerge/>
            <w:vAlign w:val="center"/>
          </w:tcPr>
          <w:p w:rsidR="001E3C3A" w:rsidRDefault="001E3C3A" w:rsidP="004C66F9">
            <w:pPr>
              <w:rPr>
                <w:bCs/>
              </w:rPr>
            </w:pPr>
          </w:p>
        </w:tc>
        <w:tc>
          <w:tcPr>
            <w:tcW w:w="6869"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推进封井回填工作。矿井、钻井、取水井因报废、未建成或者完成勘探、试验任务的，各县（区、管委会）要督促工程所有权人按照相关技术标准开展封井回填。</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2020年</w:t>
            </w:r>
          </w:p>
        </w:tc>
        <w:tc>
          <w:tcPr>
            <w:tcW w:w="1823" w:type="dxa"/>
            <w:vMerge/>
            <w:vAlign w:val="center"/>
          </w:tcPr>
          <w:p w:rsidR="001E3C3A" w:rsidRDefault="001E3C3A" w:rsidP="004C66F9"/>
        </w:tc>
        <w:tc>
          <w:tcPr>
            <w:tcW w:w="1898" w:type="dxa"/>
            <w:vMerge/>
            <w:vAlign w:val="center"/>
          </w:tcPr>
          <w:p w:rsidR="001E3C3A" w:rsidRDefault="001E3C3A" w:rsidP="004C66F9"/>
        </w:tc>
      </w:tr>
      <w:tr w:rsidR="001E3C3A" w:rsidTr="004C66F9">
        <w:trPr>
          <w:trHeight w:val="114"/>
          <w:tblHeader/>
          <w:jc w:val="center"/>
        </w:trPr>
        <w:tc>
          <w:tcPr>
            <w:tcW w:w="1076" w:type="dxa"/>
            <w:vMerge/>
            <w:vAlign w:val="center"/>
          </w:tcPr>
          <w:p w:rsidR="001E3C3A" w:rsidRDefault="001E3C3A" w:rsidP="004C66F9"/>
        </w:tc>
        <w:tc>
          <w:tcPr>
            <w:tcW w:w="1260" w:type="dxa"/>
            <w:vMerge/>
            <w:vAlign w:val="center"/>
          </w:tcPr>
          <w:p w:rsidR="001E3C3A" w:rsidRDefault="001E3C3A" w:rsidP="004C66F9">
            <w:pPr>
              <w:rPr>
                <w:bCs/>
              </w:rPr>
            </w:pPr>
          </w:p>
        </w:tc>
        <w:tc>
          <w:tcPr>
            <w:tcW w:w="6869"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对已经造成地下水串层污染的，各县（区、管委会）督促工程所有权人对造成的地下水污染进行治理和修复。</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2020年</w:t>
            </w:r>
          </w:p>
        </w:tc>
        <w:tc>
          <w:tcPr>
            <w:tcW w:w="1823"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市生态环境局</w:t>
            </w:r>
          </w:p>
        </w:tc>
        <w:tc>
          <w:tcPr>
            <w:tcW w:w="1898"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市自然资源局、水利局、住建局等</w:t>
            </w:r>
          </w:p>
        </w:tc>
      </w:tr>
      <w:tr w:rsidR="001E3C3A" w:rsidTr="004C66F9">
        <w:trPr>
          <w:trHeight w:val="1328"/>
          <w:tblHeader/>
          <w:jc w:val="center"/>
        </w:trPr>
        <w:tc>
          <w:tcPr>
            <w:tcW w:w="1076" w:type="dxa"/>
            <w:vMerge/>
            <w:vAlign w:val="center"/>
          </w:tcPr>
          <w:p w:rsidR="001E3C3A" w:rsidRDefault="001E3C3A" w:rsidP="004C66F9"/>
        </w:tc>
        <w:tc>
          <w:tcPr>
            <w:tcW w:w="1260" w:type="dxa"/>
            <w:vAlign w:val="center"/>
          </w:tcPr>
          <w:p w:rsidR="001E3C3A" w:rsidRDefault="001E3C3A" w:rsidP="004C66F9">
            <w:pPr>
              <w:adjustRightInd w:val="0"/>
              <w:snapToGrid w:val="0"/>
              <w:jc w:val="center"/>
              <w:rPr>
                <w:rFonts w:ascii="仿宋_GB2312" w:cs="宋体"/>
                <w:bCs/>
                <w:color w:val="000000"/>
                <w:sz w:val="21"/>
                <w:szCs w:val="21"/>
              </w:rPr>
            </w:pPr>
            <w:r>
              <w:rPr>
                <w:rFonts w:ascii="仿宋_GB2312" w:cs="宋体" w:hint="eastAsia"/>
                <w:bCs/>
                <w:color w:val="000000"/>
                <w:sz w:val="21"/>
                <w:szCs w:val="21"/>
              </w:rPr>
              <w:t>10．开展试点示范</w:t>
            </w:r>
          </w:p>
        </w:tc>
        <w:tc>
          <w:tcPr>
            <w:tcW w:w="6869"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在开展地下水基础环境状况调查评估的基础上，筛选报送试点示范区项目。2019年、2020年每年10月底前，积极申报1-2个防渗改造试点区。2020年10月底前，发现有地下水污染场地的应报送1个地下水污染修复试点区。2021-2025 年，试点示范区根据需要再作安排。纳入国家试点示范区的地方，要按照生态环境部统一计划和要求，适时开展实施评估。</w:t>
            </w:r>
          </w:p>
        </w:tc>
        <w:tc>
          <w:tcPr>
            <w:tcW w:w="1259"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持续推进</w:t>
            </w:r>
          </w:p>
        </w:tc>
        <w:tc>
          <w:tcPr>
            <w:tcW w:w="1823" w:type="dxa"/>
            <w:vAlign w:val="center"/>
          </w:tcPr>
          <w:p w:rsidR="001E3C3A" w:rsidRDefault="001E3C3A" w:rsidP="004C66F9">
            <w:pPr>
              <w:adjustRightInd w:val="0"/>
              <w:snapToGrid w:val="0"/>
              <w:jc w:val="center"/>
              <w:rPr>
                <w:rFonts w:ascii="仿宋_GB2312" w:cs="宋体"/>
                <w:color w:val="000000"/>
                <w:sz w:val="21"/>
                <w:szCs w:val="21"/>
              </w:rPr>
            </w:pPr>
            <w:r>
              <w:rPr>
                <w:rFonts w:ascii="仿宋_GB2312" w:cs="宋体" w:hint="eastAsia"/>
                <w:color w:val="000000"/>
                <w:sz w:val="21"/>
                <w:szCs w:val="21"/>
              </w:rPr>
              <w:t>市生态环境局</w:t>
            </w:r>
          </w:p>
        </w:tc>
        <w:tc>
          <w:tcPr>
            <w:tcW w:w="1898" w:type="dxa"/>
            <w:vAlign w:val="center"/>
          </w:tcPr>
          <w:p w:rsidR="001E3C3A" w:rsidRDefault="001E3C3A" w:rsidP="004C66F9">
            <w:pPr>
              <w:adjustRightInd w:val="0"/>
              <w:snapToGrid w:val="0"/>
              <w:rPr>
                <w:rFonts w:ascii="仿宋_GB2312" w:cs="宋体"/>
                <w:color w:val="000000"/>
                <w:sz w:val="21"/>
                <w:szCs w:val="21"/>
              </w:rPr>
            </w:pPr>
            <w:r>
              <w:rPr>
                <w:rFonts w:ascii="仿宋_GB2312" w:cs="宋体" w:hint="eastAsia"/>
                <w:color w:val="000000"/>
                <w:sz w:val="21"/>
                <w:szCs w:val="21"/>
              </w:rPr>
              <w:t>市自然资源局、城管局、水利局、农业农村局等</w:t>
            </w:r>
          </w:p>
        </w:tc>
      </w:tr>
    </w:tbl>
    <w:p w:rsidR="007F5318" w:rsidRDefault="007F5318" w:rsidP="007F5318"/>
    <w:sectPr w:rsidR="007F5318" w:rsidSect="007F5318">
      <w:pgSz w:w="16838" w:h="11906" w:orient="landscape"/>
      <w:pgMar w:top="1797" w:right="1440" w:bottom="1797" w:left="1440" w:header="851" w:footer="992" w:gutter="0"/>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BB0" w:rsidRDefault="00923BB0" w:rsidP="00EA67BF">
      <w:r>
        <w:separator/>
      </w:r>
    </w:p>
  </w:endnote>
  <w:endnote w:type="continuationSeparator" w:id="1">
    <w:p w:rsidR="00923BB0" w:rsidRDefault="00923BB0" w:rsidP="00EA67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BB0" w:rsidRDefault="00923BB0" w:rsidP="00EA67BF">
      <w:r>
        <w:separator/>
      </w:r>
    </w:p>
  </w:footnote>
  <w:footnote w:type="continuationSeparator" w:id="1">
    <w:p w:rsidR="00923BB0" w:rsidRDefault="00923BB0" w:rsidP="00EA67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3C3A"/>
    <w:rsid w:val="001E3C3A"/>
    <w:rsid w:val="003D5027"/>
    <w:rsid w:val="007F5318"/>
    <w:rsid w:val="00923BB0"/>
    <w:rsid w:val="009C7C8B"/>
    <w:rsid w:val="00EA67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C3A"/>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67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67BF"/>
    <w:rPr>
      <w:rFonts w:ascii="Times New Roman" w:eastAsia="仿宋_GB2312" w:hAnsi="Times New Roman" w:cs="Times New Roman"/>
      <w:sz w:val="18"/>
      <w:szCs w:val="18"/>
    </w:rPr>
  </w:style>
  <w:style w:type="paragraph" w:styleId="a4">
    <w:name w:val="footer"/>
    <w:basedOn w:val="a"/>
    <w:link w:val="Char0"/>
    <w:uiPriority w:val="99"/>
    <w:semiHidden/>
    <w:unhideWhenUsed/>
    <w:rsid w:val="00EA67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67BF"/>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407</Words>
  <Characters>2322</Characters>
  <Application>Microsoft Office Word</Application>
  <DocSecurity>0</DocSecurity>
  <Lines>19</Lines>
  <Paragraphs>5</Paragraphs>
  <ScaleCrop>false</ScaleCrop>
  <Company>微软中国</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2019-09-25T02:36:00Z</cp:lastPrinted>
  <dcterms:created xsi:type="dcterms:W3CDTF">2019-09-25T02:30:00Z</dcterms:created>
  <dcterms:modified xsi:type="dcterms:W3CDTF">2019-09-25T02:37:00Z</dcterms:modified>
</cp:coreProperties>
</file>