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p>
    <w:p>
      <w:pPr>
        <w:pStyle w:val="2"/>
        <w:rPr>
          <w:rFonts w:hint="eastAsia" w:ascii="方正小标宋简体" w:eastAsia="方正小标宋简体"/>
          <w:color w:val="000000" w:themeColor="text1"/>
          <w:sz w:val="44"/>
          <w:szCs w:val="44"/>
          <w:lang w:eastAsia="zh-CN"/>
          <w14:textFill>
            <w14:solidFill>
              <w14:schemeClr w14:val="tx1"/>
            </w14:solidFill>
          </w14:textFill>
        </w:rPr>
      </w:pPr>
    </w:p>
    <w:p>
      <w:pPr>
        <w:rPr>
          <w:rFonts w:hint="eastAsia"/>
          <w:lang w:eastAsia="zh-CN"/>
        </w:rPr>
      </w:pPr>
    </w:p>
    <w:p>
      <w:pPr>
        <w:widowControl/>
        <w:shd w:val="clear" w:color="auto" w:fill="FFFFFF"/>
        <w:wordWrap/>
        <w:spacing w:line="600" w:lineRule="exact"/>
        <w:jc w:val="center"/>
        <w:rPr>
          <w:rFonts w:ascii="仿宋_GB2312" w:hAnsi="Verdana" w:eastAsia="仿宋_GB2312" w:cs="仿宋_GB2312"/>
          <w:color w:val="auto"/>
          <w:kern w:val="0"/>
          <w:sz w:val="32"/>
          <w:szCs w:val="32"/>
          <w:shd w:val="clear" w:color="auto" w:fill="FFFFFF"/>
        </w:rPr>
      </w:pPr>
      <w:r>
        <w:rPr>
          <w:rFonts w:hint="eastAsia" w:ascii="仿宋_GB2312" w:hAnsi="Verdana" w:eastAsia="仿宋_GB2312" w:cs="仿宋_GB2312"/>
          <w:color w:val="auto"/>
          <w:kern w:val="0"/>
          <w:sz w:val="32"/>
          <w:szCs w:val="32"/>
          <w:shd w:val="clear" w:color="auto" w:fill="FFFFFF"/>
        </w:rPr>
        <w:t>莆环保</w:t>
      </w:r>
      <w:r>
        <w:rPr>
          <w:rFonts w:hint="eastAsia" w:ascii="仿宋_GB2312" w:hAnsi="Verdana" w:eastAsia="仿宋_GB2312" w:cs="仿宋_GB2312"/>
          <w:color w:val="auto"/>
          <w:kern w:val="0"/>
          <w:sz w:val="32"/>
          <w:szCs w:val="32"/>
          <w:shd w:val="clear" w:color="auto" w:fill="FFFFFF"/>
          <w:lang w:eastAsia="zh-CN"/>
        </w:rPr>
        <w:t>规</w:t>
      </w:r>
      <w:r>
        <w:rPr>
          <w:rFonts w:hint="eastAsia" w:ascii="仿宋_GB2312" w:eastAsia="仿宋_GB2312"/>
          <w:color w:val="auto"/>
          <w:sz w:val="32"/>
          <w:szCs w:val="32"/>
        </w:rPr>
        <w:t>〔</w:t>
      </w:r>
      <w:r>
        <w:rPr>
          <w:rFonts w:ascii="仿宋_GB2312" w:eastAsia="仿宋_GB2312"/>
          <w:color w:val="auto"/>
          <w:sz w:val="32"/>
          <w:szCs w:val="32"/>
        </w:rPr>
        <w:t>202</w:t>
      </w:r>
      <w:r>
        <w:rPr>
          <w:rFonts w:hint="eastAsia" w:eastAsia="仿宋_GB2312"/>
          <w:color w:val="auto"/>
          <w:sz w:val="32"/>
          <w:szCs w:val="32"/>
          <w:lang w:val="en-US" w:eastAsia="zh-CN"/>
        </w:rPr>
        <w:t>5</w:t>
      </w:r>
      <w:r>
        <w:rPr>
          <w:rFonts w:hint="eastAsia" w:ascii="仿宋_GB2312" w:eastAsia="仿宋_GB2312"/>
          <w:color w:val="auto"/>
          <w:sz w:val="32"/>
          <w:szCs w:val="32"/>
        </w:rPr>
        <w:t>〕</w:t>
      </w:r>
      <w:r>
        <w:rPr>
          <w:rFonts w:hint="eastAsia" w:eastAsia="仿宋_GB2312"/>
          <w:color w:val="auto"/>
          <w:sz w:val="32"/>
          <w:szCs w:val="32"/>
          <w:lang w:val="en-US" w:eastAsia="zh-CN"/>
        </w:rPr>
        <w:t>3</w:t>
      </w:r>
      <w:r>
        <w:rPr>
          <w:rFonts w:hint="eastAsia" w:ascii="仿宋_GB2312" w:hAnsi="Verdana" w:eastAsia="仿宋_GB2312" w:cs="仿宋_GB2312"/>
          <w:color w:val="auto"/>
          <w:kern w:val="0"/>
          <w:sz w:val="32"/>
          <w:szCs w:val="32"/>
          <w:shd w:val="clear" w:color="auto" w:fill="FFFFFF"/>
        </w:rPr>
        <w:t>号</w:t>
      </w:r>
    </w:p>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jc w:val="center"/>
        <w:rPr>
          <w:rFonts w:hint="eastAsia"/>
          <w:lang w:eastAsia="zh-CN"/>
        </w:rPr>
      </w:pPr>
      <w:r>
        <w:rPr>
          <w:rFonts w:hint="eastAsia" w:ascii="方正小标宋简体" w:eastAsia="方正小标宋简体"/>
          <w:color w:val="000000" w:themeColor="text1"/>
          <w:sz w:val="44"/>
          <w:szCs w:val="44"/>
          <w:lang w:eastAsia="zh-CN"/>
          <w14:textFill>
            <w14:solidFill>
              <w14:schemeClr w14:val="tx1"/>
            </w14:solidFill>
          </w14:textFill>
        </w:rPr>
        <w:t>莆田市生态环境局关于印发《莆田市优化环境影响评价分类管理试点实施方案》的通知</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各县（区、管委会）生态环境局，局机关各科室、直属各单位：</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  为</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持续深化环评领域提质增效，</w:t>
      </w:r>
      <w:r>
        <w:rPr>
          <w:rFonts w:hint="eastAsia" w:hAnsi="仿宋_GB2312" w:eastAsia="仿宋_GB2312" w:cs="仿宋_GB2312"/>
          <w:color w:val="000000" w:themeColor="text1"/>
          <w:sz w:val="32"/>
          <w:szCs w:val="32"/>
          <w:lang w:eastAsia="zh-CN"/>
          <w14:textFill>
            <w14:solidFill>
              <w14:schemeClr w14:val="tx1"/>
            </w14:solidFill>
          </w14:textFill>
        </w:rPr>
        <w:t>落实生态环境部《关于进一步深化环境影响评价改革的通知》要求，现将《莆田市优化环境影响评价分类管理试点实施方案》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印发给你们，请认真组织实施。</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莆田市</w:t>
      </w:r>
      <w:r>
        <w:rPr>
          <w:rFonts w:hint="eastAsia" w:hAnsi="仿宋_GB2312" w:eastAsia="仿宋_GB2312" w:cs="仿宋_GB2312"/>
          <w:color w:val="000000" w:themeColor="text1"/>
          <w:sz w:val="32"/>
          <w:szCs w:val="32"/>
          <w:lang w:eastAsia="zh-CN"/>
          <w14:textFill>
            <w14:solidFill>
              <w14:schemeClr w14:val="tx1"/>
            </w14:solidFill>
          </w14:textFill>
        </w:rPr>
        <w:t>生态环境局</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p>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p>
    <w:p>
      <w:pPr>
        <w:pStyle w:val="3"/>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（此件主动公开）</w:t>
      </w:r>
    </w:p>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莆田市优化环境影响评价分类管理试点</w:t>
      </w:r>
    </w:p>
    <w:p>
      <w:pPr>
        <w:keepNext w:val="0"/>
        <w:keepLines w:val="0"/>
        <w:pageBreakBefore w:val="0"/>
        <w:widowControl w:val="0"/>
        <w:kinsoku/>
        <w:wordWrap/>
        <w:topLinePunct w:val="0"/>
        <w:autoSpaceDE/>
        <w:autoSpaceDN/>
        <w:bidi w:val="0"/>
        <w:spacing w:line="560" w:lineRule="exact"/>
        <w:ind w:left="0" w:leftChars="0" w:right="0"/>
        <w:jc w:val="center"/>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实施方案</w:t>
      </w:r>
    </w:p>
    <w:p>
      <w:pPr>
        <w:keepNext w:val="0"/>
        <w:keepLines w:val="0"/>
        <w:pageBreakBefore w:val="0"/>
        <w:widowControl w:val="0"/>
        <w:kinsoku/>
        <w:wordWrap/>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ind w:left="0" w:leftChars="0" w:right="0"/>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为深入贯彻党中央国务院关于优化营商环境的重大决策部署，全面落实生态环境部《关于进一步深化环境影响评价改革的通知》要求，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进一步优化环评分类管理，</w:t>
      </w:r>
      <w:r>
        <w:rPr>
          <w:rFonts w:hint="eastAsia" w:hAnsi="仿宋_GB2312" w:eastAsia="仿宋_GB2312" w:cs="仿宋_GB2312"/>
          <w:b w:val="0"/>
          <w:bCs/>
          <w:color w:val="000000" w:themeColor="text1"/>
          <w:kern w:val="0"/>
          <w:sz w:val="32"/>
          <w:szCs w:val="32"/>
          <w:lang w:val="en-US" w:eastAsia="zh-CN"/>
          <w14:textFill>
            <w14:solidFill>
              <w14:schemeClr w14:val="tx1"/>
            </w14:solidFill>
          </w14:textFill>
        </w:rPr>
        <w:t>莆田</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市</w:t>
      </w:r>
      <w:r>
        <w:rPr>
          <w:rFonts w:hint="eastAsia" w:hAnsi="仿宋_GB2312" w:eastAsia="仿宋_GB2312" w:cs="仿宋_GB2312"/>
          <w:b w:val="0"/>
          <w:bCs/>
          <w:color w:val="000000" w:themeColor="text1"/>
          <w:kern w:val="0"/>
          <w:sz w:val="32"/>
          <w:szCs w:val="32"/>
          <w:lang w:val="en-US" w:eastAsia="zh-CN"/>
          <w14:textFill>
            <w14:solidFill>
              <w14:schemeClr w14:val="tx1"/>
            </w14:solidFill>
          </w14:textFill>
        </w:rPr>
        <w:t>结合地方行业特色</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，开展</w:t>
      </w:r>
      <w:r>
        <w:rPr>
          <w:rFonts w:hint="eastAsia" w:hAnsi="仿宋_GB2312" w:eastAsia="仿宋_GB2312" w:cs="仿宋_GB2312"/>
          <w:color w:val="000000" w:themeColor="text1"/>
          <w:sz w:val="32"/>
          <w:szCs w:val="32"/>
          <w:lang w:eastAsia="zh-CN"/>
          <w14:textFill>
            <w14:solidFill>
              <w14:schemeClr w14:val="tx1"/>
            </w14:solidFill>
          </w14:textFill>
        </w:rPr>
        <w:t>取消办理环评手续</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试点工作，制定本方案。</w:t>
      </w:r>
    </w:p>
    <w:p>
      <w:pPr>
        <w:keepNext w:val="0"/>
        <w:keepLines w:val="0"/>
        <w:pageBreakBefore w:val="0"/>
        <w:widowControl w:val="0"/>
        <w:kinsoku/>
        <w:wordWrap/>
        <w:topLinePunct w:val="0"/>
        <w:autoSpaceDE/>
        <w:autoSpaceDN/>
        <w:bidi w:val="0"/>
        <w:spacing w:line="560" w:lineRule="exact"/>
        <w:ind w:left="0" w:leftChars="0" w:right="0"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试点</w:t>
      </w:r>
      <w:r>
        <w:rPr>
          <w:rFonts w:hint="eastAsia" w:ascii="黑体" w:hAnsi="黑体" w:eastAsia="黑体" w:cs="黑体"/>
          <w:color w:val="000000" w:themeColor="text1"/>
          <w:sz w:val="32"/>
          <w:szCs w:val="32"/>
          <w14:textFill>
            <w14:solidFill>
              <w14:schemeClr w14:val="tx1"/>
            </w14:solidFill>
          </w14:textFill>
        </w:rPr>
        <w:t>目标</w:t>
      </w:r>
    </w:p>
    <w:p>
      <w:pPr>
        <w:keepNext w:val="0"/>
        <w:keepLines w:val="0"/>
        <w:pageBreakBefore w:val="0"/>
        <w:widowControl w:val="0"/>
        <w:kinsoku/>
        <w:wordWrap/>
        <w:topLinePunct w:val="0"/>
        <w:autoSpaceDE/>
        <w:autoSpaceDN/>
        <w:bidi w:val="0"/>
        <w:spacing w:line="560" w:lineRule="exact"/>
        <w:ind w:left="0" w:leftChars="0" w:right="0"/>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hAnsi="仿宋_GB2312" w:eastAsia="仿宋_GB2312" w:cs="仿宋_GB2312"/>
          <w:color w:val="000000" w:themeColor="text1"/>
          <w:sz w:val="32"/>
          <w:szCs w:val="32"/>
          <w:lang w:eastAsia="zh-CN"/>
          <w14:textFill>
            <w14:solidFill>
              <w14:schemeClr w14:val="tx1"/>
            </w14:solidFill>
          </w14:textFill>
        </w:rPr>
        <w:t>生态环境部</w:t>
      </w:r>
      <w:r>
        <w:rPr>
          <w:rFonts w:hint="eastAsia" w:ascii="仿宋_GB2312" w:hAnsi="仿宋_GB2312" w:eastAsia="仿宋_GB2312" w:cs="仿宋_GB2312"/>
          <w:color w:val="000000" w:themeColor="text1"/>
          <w:sz w:val="32"/>
          <w:szCs w:val="32"/>
          <w:lang w:eastAsia="zh-CN"/>
          <w14:textFill>
            <w14:solidFill>
              <w14:schemeClr w14:val="tx1"/>
            </w14:solidFill>
          </w14:textFill>
        </w:rPr>
        <w:t>修订建设项目环境影响评价分类管理名录积累经验</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探索加强生态环境分区管控在建设项目选址环境比选方面的指导作用，推进排污许可固定污染源管理核心制度建设，提升源头预防制度体系整体效力。</w:t>
      </w:r>
    </w:p>
    <w:p>
      <w:pPr>
        <w:keepNext w:val="0"/>
        <w:keepLines w:val="0"/>
        <w:pageBreakBefore w:val="0"/>
        <w:widowControl w:val="0"/>
        <w:kinsoku/>
        <w:wordWrap/>
        <w:topLinePunct w:val="0"/>
        <w:autoSpaceDE/>
        <w:autoSpaceDN/>
        <w:bidi w:val="0"/>
        <w:spacing w:line="560" w:lineRule="exact"/>
        <w:ind w:left="0" w:leftChars="0" w:right="0"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试点</w:t>
      </w:r>
      <w:r>
        <w:rPr>
          <w:rFonts w:hint="eastAsia" w:ascii="黑体" w:hAnsi="黑体" w:eastAsia="黑体" w:cs="黑体"/>
          <w:color w:val="000000" w:themeColor="text1"/>
          <w:sz w:val="32"/>
          <w:szCs w:val="32"/>
          <w14:textFill>
            <w14:solidFill>
              <w14:schemeClr w14:val="tx1"/>
            </w14:solidFill>
          </w14:textFill>
        </w:rPr>
        <w:t>范围</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建设地点位于</w:t>
      </w:r>
      <w:r>
        <w:rPr>
          <w:rFonts w:hint="eastAsia" w:hAnsi="仿宋_GB2312" w:eastAsia="仿宋_GB2312" w:cs="仿宋_GB2312"/>
          <w:color w:val="000000" w:themeColor="text1"/>
          <w:sz w:val="32"/>
          <w:szCs w:val="32"/>
          <w:lang w:eastAsia="zh-CN"/>
          <w14:textFill>
            <w14:solidFill>
              <w14:schemeClr w14:val="tx1"/>
            </w14:solidFill>
          </w14:textFill>
        </w:rPr>
        <w:t>莆田</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hAnsi="仿宋_GB2312" w:eastAsia="仿宋_GB2312" w:cs="仿宋_GB2312"/>
          <w:color w:val="000000" w:themeColor="text1"/>
          <w:sz w:val="32"/>
          <w:szCs w:val="32"/>
          <w:lang w:eastAsia="zh-CN"/>
          <w14:textFill>
            <w14:solidFill>
              <w14:schemeClr w14:val="tx1"/>
            </w14:solidFill>
          </w14:textFill>
        </w:rPr>
        <w:t>行政区域内</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hAnsi="仿宋_GB2312" w:eastAsia="仿宋_GB2312" w:cs="仿宋_GB2312"/>
          <w:color w:val="000000" w:themeColor="text1"/>
          <w:sz w:val="32"/>
          <w:szCs w:val="32"/>
          <w:lang w:eastAsia="zh-CN"/>
          <w14:textFill>
            <w14:solidFill>
              <w14:schemeClr w14:val="tx1"/>
            </w14:solidFill>
          </w14:textFill>
        </w:rPr>
        <w:t>符合生态环境分区管控要求和园区规划及规划环评</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hAnsi="仿宋_GB2312" w:eastAsia="仿宋_GB2312" w:cs="仿宋_GB2312"/>
          <w:color w:val="000000" w:themeColor="text1"/>
          <w:sz w:val="32"/>
          <w:szCs w:val="32"/>
          <w:lang w:eastAsia="zh-CN"/>
          <w14:textFill>
            <w14:solidFill>
              <w14:schemeClr w14:val="tx1"/>
            </w14:solidFill>
          </w14:textFill>
        </w:rPr>
        <w:t>试点行业建设项目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hAnsi="仿宋_GB2312" w:eastAsia="仿宋_GB2312" w:cs="仿宋_GB2312"/>
          <w:color w:val="000000" w:themeColor="text1"/>
          <w:sz w:val="32"/>
          <w:szCs w:val="32"/>
          <w:lang w:eastAsia="zh-CN"/>
          <w14:textFill>
            <w14:solidFill>
              <w14:schemeClr w14:val="tx1"/>
            </w14:solidFill>
          </w14:textFill>
        </w:rPr>
        <w:t>取消办理环评手续，</w:t>
      </w:r>
      <w:r>
        <w:rPr>
          <w:rFonts w:hint="eastAsia" w:hAnsi="仿宋_GB2312" w:eastAsia="仿宋_GB2312" w:cs="仿宋_GB2312"/>
          <w:b w:val="0"/>
          <w:bCs w:val="0"/>
          <w:color w:val="000000" w:themeColor="text1"/>
          <w:sz w:val="32"/>
          <w:szCs w:val="32"/>
          <w:lang w:eastAsia="zh-CN"/>
          <w14:textFill>
            <w14:solidFill>
              <w14:schemeClr w14:val="tx1"/>
            </w14:solidFill>
          </w14:textFill>
        </w:rPr>
        <w:t>在项目建设前直接申领排污许可证或进行排污登记</w:t>
      </w:r>
      <w:r>
        <w:rPr>
          <w:rFonts w:hint="eastAsia"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1"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（一）试点行业。</w:t>
      </w:r>
      <w:r>
        <w:rPr>
          <w:rFonts w:hint="eastAsia" w:hAnsi="仿宋_GB2312" w:eastAsia="仿宋_GB2312" w:cs="仿宋_GB2312"/>
          <w:color w:val="000000" w:themeColor="text1"/>
          <w:sz w:val="32"/>
          <w:szCs w:val="32"/>
          <w:highlight w:val="none"/>
          <w:lang w:val="en-US" w:eastAsia="zh-CN"/>
          <w14:textFill>
            <w14:solidFill>
              <w14:schemeClr w14:val="tx1"/>
            </w14:solidFill>
          </w14:textFill>
        </w:rPr>
        <w:t>按照具有足够试点样本数量、行业污染治理措施成熟可靠、环境影响和环境风险总体可控等原则选取4个试点行业。分别为</w:t>
      </w:r>
      <w:r>
        <w:rPr>
          <w:rFonts w:hint="eastAsia" w:hAnsi="仿宋_GB2312" w:eastAsia="仿宋_GB2312" w:cs="仿宋_GB2312"/>
          <w:color w:val="000000" w:themeColor="text1"/>
          <w:sz w:val="32"/>
          <w:szCs w:val="32"/>
          <w:highlight w:val="none"/>
          <w:lang w:eastAsia="zh-CN"/>
          <w14:textFill>
            <w14:solidFill>
              <w14:schemeClr w14:val="tx1"/>
            </w14:solidFill>
          </w14:textFill>
        </w:rPr>
        <w:t>：制鞋业</w:t>
      </w:r>
      <w:r>
        <w:rPr>
          <w:rFonts w:hint="eastAsia" w:hAnsi="仿宋_GB2312" w:eastAsia="仿宋_GB2312" w:cs="仿宋_GB2312"/>
          <w:color w:val="000000" w:themeColor="text1"/>
          <w:sz w:val="32"/>
          <w:szCs w:val="32"/>
          <w:highlight w:val="none"/>
          <w:lang w:val="en-US" w:eastAsia="zh-CN"/>
          <w14:textFill>
            <w14:solidFill>
              <w14:schemeClr w14:val="tx1"/>
            </w14:solidFill>
          </w14:textFill>
        </w:rPr>
        <w:t>195*（年用溶剂型处理剂3吨及以上的）、木质家具制造211*（年用非溶剂型低VOCs含量涂料10吨及以上的）、纸制品制造223*（所有报告表）、印刷231*（所有报告表）</w:t>
      </w:r>
      <w:r>
        <w:rPr>
          <w:rFonts w:hint="eastAsia"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560" w:lineRule="exact"/>
        <w:ind w:left="0" w:leftChars="0" w:right="0" w:firstLine="64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highlight w:val="none"/>
          <w14:textFill>
            <w14:solidFill>
              <w14:schemeClr w14:val="tx1"/>
            </w14:solidFill>
          </w14:textFill>
        </w:rPr>
        <w:t>（二）</w:t>
      </w:r>
      <w:r>
        <w:rPr>
          <w:rFonts w:hint="eastAsia" w:ascii="方正公文楷体" w:hAnsi="方正公文楷体" w:eastAsia="方正公文楷体" w:cs="方正公文楷体"/>
          <w:b/>
          <w:bCs/>
          <w:color w:val="000000" w:themeColor="text1"/>
          <w:sz w:val="32"/>
          <w:szCs w:val="32"/>
          <w:highlight w:val="none"/>
          <w:lang w:val="en-US" w:eastAsia="zh-CN"/>
          <w14:textFill>
            <w14:solidFill>
              <w14:schemeClr w14:val="tx1"/>
            </w14:solidFill>
          </w14:textFill>
        </w:rPr>
        <w:t>试点时限</w:t>
      </w:r>
      <w:r>
        <w:rPr>
          <w:rFonts w:hint="eastAsia" w:ascii="方正公文楷体" w:hAnsi="方正公文楷体" w:eastAsia="方正公文楷体" w:cs="方正公文楷体"/>
          <w:color w:val="000000" w:themeColor="text1"/>
          <w:sz w:val="32"/>
          <w:szCs w:val="32"/>
          <w:highlight w:val="none"/>
          <w:lang w:val="en-US" w:eastAsia="zh-CN"/>
          <w14:textFill>
            <w14:solidFill>
              <w14:schemeClr w14:val="tx1"/>
            </w14:solidFill>
          </w14:textFill>
        </w:rPr>
        <w:t>。</w:t>
      </w:r>
      <w:r>
        <w:rPr>
          <w:rFonts w:hint="eastAsia" w:hAnsi="仿宋_GB2312" w:eastAsia="仿宋_GB2312" w:cs="仿宋_GB2312"/>
          <w:color w:val="000000" w:themeColor="text1"/>
          <w:sz w:val="32"/>
          <w:szCs w:val="32"/>
          <w:lang w:val="en-US" w:eastAsia="zh-CN"/>
          <w14:textFill>
            <w14:solidFill>
              <w14:schemeClr w14:val="tx1"/>
            </w14:solidFill>
          </w14:textFill>
        </w:rPr>
        <w:t>试点时限从本文印发之日起，于生态环境部施行新版《建设项目环境影响评价分类管理名录》自动终止。</w:t>
      </w:r>
    </w:p>
    <w:p>
      <w:pPr>
        <w:keepNext w:val="0"/>
        <w:keepLines w:val="0"/>
        <w:pageBreakBefore w:val="0"/>
        <w:widowControl w:val="0"/>
        <w:kinsoku/>
        <w:wordWrap/>
        <w:topLinePunct w:val="0"/>
        <w:autoSpaceDE/>
        <w:autoSpaceDN/>
        <w:bidi w:val="0"/>
        <w:spacing w:line="560" w:lineRule="exact"/>
        <w:ind w:left="0" w:leftChars="0" w:right="0"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试点任务</w:t>
      </w:r>
    </w:p>
    <w:p>
      <w:pPr>
        <w:keepNext w:val="0"/>
        <w:keepLines w:val="0"/>
        <w:pageBreakBefore w:val="0"/>
        <w:widowControl w:val="0"/>
        <w:kinsoku/>
        <w:wordWrap/>
        <w:topLinePunct w:val="0"/>
        <w:autoSpaceDE/>
        <w:autoSpaceDN/>
        <w:bidi w:val="0"/>
        <w:spacing w:line="560" w:lineRule="exact"/>
        <w:ind w:left="0" w:leftChars="0" w:right="0" w:firstLine="64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（三）以生态环境分区管控服务绿色发展。</w:t>
      </w:r>
      <w:r>
        <w:rPr>
          <w:rFonts w:hint="eastAsia" w:hAnsi="仿宋_GB2312" w:eastAsia="仿宋_GB2312" w:cs="仿宋_GB2312"/>
          <w:color w:val="000000" w:themeColor="text1"/>
          <w:sz w:val="32"/>
          <w:szCs w:val="32"/>
          <w:lang w:val="en-US" w:eastAsia="zh-CN"/>
          <w14:textFill>
            <w14:solidFill>
              <w14:schemeClr w14:val="tx1"/>
            </w14:solidFill>
          </w14:textFill>
        </w:rPr>
        <w:t xml:space="preserve">在开展试点项目建设前，建设单位应重点关注项目选址与生态环境分区管控要求的符合性分析，运用福建省生态环境分区管控平台进行叠图分析，严格落实生态环境准入清单等要求；各级生态环境部门应加强对建设项目选址的人工咨询，主动服务，对不符合生态环境分区管控要求的，应提出调整优化建议，促进区域空间合理开发。  </w:t>
      </w:r>
    </w:p>
    <w:p>
      <w:pPr>
        <w:keepNext w:val="0"/>
        <w:keepLines w:val="0"/>
        <w:pageBreakBefore w:val="0"/>
        <w:widowControl w:val="0"/>
        <w:kinsoku/>
        <w:wordWrap/>
        <w:topLinePunct w:val="0"/>
        <w:autoSpaceDE/>
        <w:autoSpaceDN/>
        <w:bidi w:val="0"/>
        <w:spacing w:line="560" w:lineRule="exact"/>
        <w:ind w:left="0" w:leftChars="0" w:right="0" w:firstLine="640"/>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责任单位：行政审批科、各县（区、管委会）生态环境局。以下均需各县（区、管委会）生态环境局落实，不再列出。</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1" w:firstLineChars="2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（四）以规划环评推动协调发展。</w:t>
      </w:r>
      <w:r>
        <w:rPr>
          <w:rFonts w:hint="eastAsia" w:hAnsi="仿宋_GB2312" w:eastAsia="仿宋_GB2312" w:cs="仿宋_GB2312"/>
          <w:color w:val="000000" w:themeColor="text1"/>
          <w:sz w:val="32"/>
          <w:szCs w:val="32"/>
          <w:lang w:val="en-US" w:eastAsia="zh-CN"/>
          <w14:textFill>
            <w14:solidFill>
              <w14:schemeClr w14:val="tx1"/>
            </w14:solidFill>
          </w14:textFill>
        </w:rPr>
        <w:t>试点项目还应重点关注与园区产业定位、规划布局及规划环评相关要求的符合性。试点项目属地生态环境部门应主动协助建设单位提前做好项目用地选址、产业和规划符合性等前期工作。</w:t>
      </w:r>
    </w:p>
    <w:p>
      <w:pPr>
        <w:keepNext w:val="0"/>
        <w:keepLines w:val="0"/>
        <w:pageBreakBefore w:val="0"/>
        <w:widowControl w:val="0"/>
        <w:numPr>
          <w:ilvl w:val="0"/>
          <w:numId w:val="0"/>
        </w:numPr>
        <w:kinsoku/>
        <w:wordWrap/>
        <w:topLinePunct w:val="0"/>
        <w:autoSpaceDE/>
        <w:autoSpaceDN/>
        <w:bidi w:val="0"/>
        <w:spacing w:line="560" w:lineRule="exact"/>
        <w:ind w:leftChars="200" w:right="0" w:rightChars="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责任单位：行政审批科。</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1" w:firstLineChars="2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（五）简化小微项目总量管理。</w:t>
      </w:r>
      <w:r>
        <w:rPr>
          <w:rFonts w:hint="eastAsia" w:hAnsi="仿宋_GB2312" w:eastAsia="仿宋_GB2312" w:cs="仿宋_GB2312"/>
          <w:color w:val="000000" w:themeColor="text1"/>
          <w:sz w:val="32"/>
          <w:szCs w:val="32"/>
          <w:lang w:eastAsia="zh-CN"/>
          <w14:textFill>
            <w14:solidFill>
              <w14:schemeClr w14:val="tx1"/>
            </w14:solidFill>
          </w14:textFill>
        </w:rPr>
        <w:t>试点项目氮氧化物、化学需氧量、挥发性有机污染物的单项新增年排放量小于0.1吨,氨氮小于0.01吨的,免予提交总量指标来源说明,由属地生态环境部门统筹总量指标替代来源,</w:t>
      </w:r>
      <w:r>
        <w:rPr>
          <w:rFonts w:hint="eastAsia" w:hAnsi="仿宋_GB2312" w:eastAsia="仿宋_GB2312" w:cs="仿宋_GB2312"/>
          <w:color w:val="000000" w:themeColor="text1"/>
          <w:sz w:val="32"/>
          <w:szCs w:val="32"/>
          <w:lang w:val="en-US" w:eastAsia="zh-CN"/>
          <w14:textFill>
            <w14:solidFill>
              <w14:schemeClr w14:val="tx1"/>
            </w14:solidFill>
          </w14:textFill>
        </w:rPr>
        <w:t>纳入管理台账，并在下一年度策划实施区域减排工程予以平衡。华林经济开发区、高新技术产业开发区内的试点项目二氧化硫</w:t>
      </w:r>
      <w:r>
        <w:rPr>
          <w:rFonts w:hint="eastAsia" w:hAnsi="仿宋_GB2312" w:eastAsia="仿宋_GB2312" w:cs="仿宋_GB2312"/>
          <w:color w:val="000000" w:themeColor="text1"/>
          <w:sz w:val="32"/>
          <w:szCs w:val="32"/>
          <w:lang w:eastAsia="zh-CN"/>
          <w14:textFill>
            <w14:solidFill>
              <w14:schemeClr w14:val="tx1"/>
            </w14:solidFill>
          </w14:textFill>
        </w:rPr>
        <w:t>新增年排放量小于0.1吨的也免予提交总量指标来源说明</w:t>
      </w:r>
      <w:r>
        <w:rPr>
          <w:rFonts w:hint="eastAsia" w:hAnsi="仿宋_GB2312" w:eastAsia="仿宋_GB2312" w:cs="仿宋_GB2312"/>
          <w:color w:val="000000" w:themeColor="text1"/>
          <w:sz w:val="32"/>
          <w:szCs w:val="32"/>
          <w:lang w:val="en-US" w:eastAsia="zh-CN"/>
          <w14:textFill>
            <w14:solidFill>
              <w14:schemeClr w14:val="tx1"/>
            </w14:solidFill>
          </w14:textFill>
        </w:rPr>
        <w:t>；其他试点项目建设单位按规定购买排污权指标，于排污许可证核发或排污登记前提交排污权交易凭证。</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责任单位：综合与监测应急科、行政审批科、水与海洋科、大气与固化科、环科所。</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1" w:firstLineChars="200"/>
        <w:rPr>
          <w:rFonts w:hint="eastAsia" w:hAnsi="仿宋_GB2312" w:eastAsia="仿宋_GB2312" w:cs="仿宋_GB2312"/>
          <w:color w:val="000000" w:themeColor="text1"/>
          <w:sz w:val="32"/>
          <w:szCs w:val="32"/>
          <w:lang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（六）排污许可证申报和审查。</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严格落实区域生态环境分区管控和产业园区规划环评要求，对取消环评的建设项目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，经查询符合生态环境分区管控</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环境准入清单、园区规划环评以及试点行业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环境准入指引</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要求的</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依法纳入排污许可管理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hAnsi="仿宋_GB2312" w:eastAsia="仿宋_GB2312" w:cs="仿宋_GB2312"/>
          <w:color w:val="000000" w:themeColor="text1"/>
          <w:sz w:val="32"/>
          <w:szCs w:val="32"/>
          <w:lang w:eastAsia="zh-CN"/>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通过全国排污许可证管理信息平台</w:t>
      </w:r>
      <w:r>
        <w:rPr>
          <w:rFonts w:hint="eastAsia" w:hAnsi="仿宋_GB2312" w:eastAsia="仿宋_GB2312" w:cs="仿宋_GB2312"/>
          <w:color w:val="000000" w:themeColor="text1"/>
          <w:sz w:val="32"/>
          <w:szCs w:val="32"/>
          <w:lang w:eastAsia="zh-CN"/>
          <w14:textFill>
            <w14:solidFill>
              <w14:schemeClr w14:val="tx1"/>
            </w14:solidFill>
          </w14:textFill>
        </w:rPr>
        <w:t>进行填报</w:t>
      </w:r>
      <w:r>
        <w:rPr>
          <w:rFonts w:hint="eastAsia" w:ascii="仿宋_GB2312" w:hAnsi="仿宋_GB2312" w:eastAsia="仿宋_GB2312" w:cs="仿宋_GB2312"/>
          <w:color w:val="000000" w:themeColor="text1"/>
          <w:sz w:val="32"/>
          <w:szCs w:val="32"/>
          <w:lang w:eastAsia="zh-CN"/>
          <w14:textFill>
            <w14:solidFill>
              <w14:schemeClr w14:val="tx1"/>
            </w14:solidFill>
          </w14:textFill>
        </w:rPr>
        <w:t>和福建省网上办事大厅</w:t>
      </w:r>
      <w:r>
        <w:rPr>
          <w:rFonts w:hint="eastAsia" w:ascii="仿宋_GB2312" w:hAnsi="仿宋_GB2312" w:eastAsia="仿宋_GB2312" w:cs="仿宋_GB2312"/>
          <w:color w:val="000000" w:themeColor="text1"/>
          <w:sz w:val="32"/>
          <w:szCs w:val="32"/>
          <w14:textFill>
            <w14:solidFill>
              <w14:schemeClr w14:val="tx1"/>
            </w14:solidFill>
          </w14:textFill>
        </w:rPr>
        <w:t>提交排污许可证申报材料</w:t>
      </w:r>
      <w:r>
        <w:rPr>
          <w:rFonts w:hint="eastAsia" w:hAnsi="仿宋_GB2312" w:eastAsia="仿宋_GB2312" w:cs="仿宋_GB2312"/>
          <w:color w:val="000000" w:themeColor="text1"/>
          <w:sz w:val="32"/>
          <w:szCs w:val="32"/>
          <w:lang w:eastAsia="zh-CN"/>
          <w14:textFill>
            <w14:solidFill>
              <w14:schemeClr w14:val="tx1"/>
            </w14:solidFill>
          </w14:textFill>
        </w:rPr>
        <w:t>，</w:t>
      </w:r>
      <w:r>
        <w:rPr>
          <w:rFonts w:hint="eastAsia" w:hAnsi="仿宋_GB2312" w:eastAsia="仿宋_GB2312" w:cs="仿宋_GB2312"/>
          <w:color w:val="000000" w:themeColor="text1"/>
          <w:sz w:val="32"/>
          <w:szCs w:val="32"/>
          <w:lang w:val="en-US" w:eastAsia="zh-CN"/>
          <w14:textFill>
            <w14:solidFill>
              <w14:schemeClr w14:val="tx1"/>
            </w14:solidFill>
          </w14:textFill>
        </w:rPr>
        <w:t>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进行申报材料审查</w:t>
      </w:r>
      <w:r>
        <w:rPr>
          <w:rFonts w:hint="eastAsia"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符合条件的</w:t>
      </w:r>
      <w:r>
        <w:rPr>
          <w:rFonts w:hint="eastAsia" w:hAnsi="仿宋_GB2312" w:eastAsia="仿宋_GB2312" w:cs="仿宋_GB2312"/>
          <w:color w:val="000000" w:themeColor="text1"/>
          <w:sz w:val="32"/>
          <w:szCs w:val="32"/>
          <w:lang w:eastAsia="zh-CN"/>
          <w14:textFill>
            <w14:solidFill>
              <w14:schemeClr w14:val="tx1"/>
            </w14:solidFill>
          </w14:textFill>
        </w:rPr>
        <w:t>核发排污许可证；对位于法律法规规定禁止建设区域内、违法占用生态保护红线等</w:t>
      </w:r>
      <w:r>
        <w:rPr>
          <w:rFonts w:hint="eastAsia" w:ascii="仿宋_GB2312" w:hAnsi="仿宋_GB2312" w:eastAsia="仿宋_GB2312" w:cs="仿宋_GB2312"/>
          <w:color w:val="000000" w:themeColor="text1"/>
          <w:sz w:val="32"/>
          <w:szCs w:val="32"/>
          <w14:textFill>
            <w14:solidFill>
              <w14:schemeClr w14:val="tx1"/>
            </w14:solidFill>
          </w14:textFill>
        </w:rPr>
        <w:t>不符合条件的</w:t>
      </w:r>
      <w:r>
        <w:rPr>
          <w:rFonts w:hint="eastAsia" w:hAnsi="仿宋_GB2312" w:eastAsia="仿宋_GB2312" w:cs="仿宋_GB2312"/>
          <w:color w:val="000000" w:themeColor="text1"/>
          <w:sz w:val="32"/>
          <w:szCs w:val="32"/>
          <w:lang w:eastAsia="zh-CN"/>
          <w14:textFill>
            <w14:solidFill>
              <w14:schemeClr w14:val="tx1"/>
            </w14:solidFill>
          </w14:textFill>
        </w:rPr>
        <w:t>不予核发排污许可证</w:t>
      </w:r>
      <w:r>
        <w:rPr>
          <w:rFonts w:hint="eastAsia" w:ascii="仿宋_GB2312" w:hAnsi="仿宋_GB2312" w:eastAsia="仿宋_GB2312" w:cs="仿宋_GB2312"/>
          <w:color w:val="000000" w:themeColor="text1"/>
          <w:sz w:val="32"/>
          <w:szCs w:val="32"/>
          <w14:textFill>
            <w14:solidFill>
              <w14:schemeClr w14:val="tx1"/>
            </w14:solidFill>
          </w14:textFill>
        </w:rPr>
        <w:t>并一次性告知相关规定</w:t>
      </w:r>
      <w:r>
        <w:rPr>
          <w:rFonts w:hint="eastAsia"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topLinePunct w:val="0"/>
        <w:autoSpaceDE/>
        <w:autoSpaceDN/>
        <w:bidi w:val="0"/>
        <w:spacing w:line="560" w:lineRule="exact"/>
        <w:ind w:leftChars="200" w:right="0" w:right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w:t>
      </w:r>
      <w:r>
        <w:rPr>
          <w:rFonts w:hint="eastAsia" w:hAnsi="仿宋_GB2312" w:eastAsia="仿宋_GB2312" w:cs="仿宋_GB2312"/>
          <w:color w:val="000000" w:themeColor="text1"/>
          <w:sz w:val="32"/>
          <w:szCs w:val="32"/>
          <w:lang w:eastAsia="zh-CN"/>
          <w14:textFill>
            <w14:solidFill>
              <w14:schemeClr w14:val="tx1"/>
            </w14:solidFill>
          </w14:textFill>
        </w:rPr>
        <w:t>行政审批科。</w:t>
      </w:r>
      <w:r>
        <w:rPr>
          <w:rFonts w:hint="eastAsia" w:ascii="仿宋_GB2312" w:hAnsi="仿宋_GB2312" w:eastAsia="仿宋_GB2312" w:cs="仿宋_GB2312"/>
          <w:color w:val="000000" w:themeColor="text1"/>
          <w:sz w:val="32"/>
          <w:szCs w:val="32"/>
          <w14:textFill>
            <w14:solidFill>
              <w14:schemeClr w14:val="tx1"/>
            </w14:solidFill>
          </w14:textFill>
        </w:rPr>
        <w:t>　　</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1" w:firstLineChars="200"/>
        <w:rPr>
          <w:rFonts w:hint="eastAsia" w:hAnsi="仿宋_GB2312" w:eastAsia="仿宋_GB2312" w:cs="仿宋_GB2312"/>
          <w:color w:val="000000" w:themeColor="text1"/>
          <w:sz w:val="32"/>
          <w:szCs w:val="32"/>
          <w:lang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（七）</w:t>
      </w:r>
      <w:r>
        <w:rPr>
          <w:rFonts w:hint="eastAsia" w:ascii="方正公文楷体" w:hAnsi="方正公文楷体" w:eastAsia="方正公文楷体" w:cs="方正公文楷体"/>
          <w:b/>
          <w:bCs/>
          <w:color w:val="000000" w:themeColor="text1"/>
          <w:sz w:val="32"/>
          <w:szCs w:val="32"/>
          <w:lang w:val="en-US" w:eastAsia="zh-CN" w:bidi="ar-SA"/>
          <w14:textFill>
            <w14:solidFill>
              <w14:schemeClr w14:val="tx1"/>
            </w14:solidFill>
          </w14:textFill>
        </w:rPr>
        <w:t>强化</w:t>
      </w: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事中事后监管。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建设单位依据排污许可等要求，落实</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建设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项目环境保护“三同时”</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排污许可证生效前</w:t>
      </w:r>
      <w:r>
        <w:rPr>
          <w:rFonts w:hint="eastAsia" w:hAnsi="仿宋_GB2312" w:eastAsia="仿宋_GB2312" w:cs="仿宋_GB2312"/>
          <w:color w:val="000000" w:themeColor="text1"/>
          <w:sz w:val="32"/>
          <w:szCs w:val="32"/>
          <w:lang w:eastAsia="zh-CN"/>
          <w14:textFill>
            <w14:solidFill>
              <w14:schemeClr w14:val="tx1"/>
            </w14:solidFill>
          </w14:textFill>
        </w:rPr>
        <w:t>或未依法进行排污登记的</w:t>
      </w:r>
      <w:r>
        <w:rPr>
          <w:rFonts w:hint="eastAsia" w:ascii="仿宋_GB2312" w:hAnsi="仿宋_GB2312" w:eastAsia="仿宋_GB2312" w:cs="仿宋_GB2312"/>
          <w:color w:val="000000" w:themeColor="text1"/>
          <w:sz w:val="32"/>
          <w:szCs w:val="32"/>
          <w14:textFill>
            <w14:solidFill>
              <w14:schemeClr w14:val="tx1"/>
            </w14:solidFill>
          </w14:textFill>
        </w:rPr>
        <w:t>，不得投入生产</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。生态环境</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部门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加强对相关项目污染防治和环境风险防控措施有效性监管，对</w:t>
      </w:r>
      <w:r>
        <w:rPr>
          <w:rFonts w:hint="eastAsia" w:hAnsi="仿宋_GB2312" w:eastAsia="仿宋_GB2312" w:cs="仿宋_GB2312"/>
          <w:color w:val="000000" w:themeColor="text1"/>
          <w:sz w:val="32"/>
          <w:szCs w:val="32"/>
          <w:lang w:eastAsia="zh-CN"/>
          <w14:textFill>
            <w14:solidFill>
              <w14:schemeClr w14:val="tx1"/>
            </w14:solidFill>
          </w14:textFill>
        </w:rPr>
        <w:t>存在弄虚作假、环保设施“三同时”不到位、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不按证排污的，</w:t>
      </w:r>
      <w:r>
        <w:rPr>
          <w:rFonts w:hint="eastAsia" w:hAnsi="仿宋_GB2312" w:eastAsia="仿宋_GB2312" w:cs="仿宋_GB2312"/>
          <w:color w:val="000000" w:themeColor="text1"/>
          <w:sz w:val="32"/>
          <w:szCs w:val="32"/>
          <w:lang w:eastAsia="zh-CN"/>
          <w14:textFill>
            <w14:solidFill>
              <w14:schemeClr w14:val="tx1"/>
            </w14:solidFill>
          </w14:textFill>
        </w:rPr>
        <w:t>对违法行为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依法</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依规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严肃查处。</w:t>
      </w:r>
      <w:r>
        <w:rPr>
          <w:rFonts w:hint="eastAsia" w:hAnsi="仿宋_GB2312" w:eastAsia="仿宋_GB2312" w:cs="仿宋_GB2312"/>
          <w:color w:val="000000" w:themeColor="text1"/>
          <w:sz w:val="32"/>
          <w:szCs w:val="32"/>
          <w:lang w:val="en-US" w:eastAsia="zh-CN"/>
          <w14:textFill>
            <w14:solidFill>
              <w14:schemeClr w14:val="tx1"/>
            </w14:solidFill>
          </w14:textFill>
        </w:rPr>
        <w:t>开展试点项目排污许可证质量和排污登记内容定期抽查复核，每季度对全市试点项目排污许可证和排污登记按100%比例抽查复核，加强排污许可证质量监管。</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0" w:firstLineChars="200"/>
        <w:rPr>
          <w:rFonts w:hint="eastAsia" w:hAnsi="仿宋_GB2312" w:eastAsia="仿宋_GB2312" w:cs="仿宋_GB2312"/>
          <w:color w:val="000000" w:themeColor="text1"/>
          <w:sz w:val="32"/>
          <w:szCs w:val="32"/>
          <w:lang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w:t>
      </w:r>
      <w:r>
        <w:rPr>
          <w:rFonts w:hint="eastAsia" w:hAnsi="仿宋_GB2312" w:eastAsia="仿宋_GB2312" w:cs="仿宋_GB2312"/>
          <w:color w:val="000000" w:themeColor="text1"/>
          <w:sz w:val="32"/>
          <w:szCs w:val="32"/>
          <w:lang w:eastAsia="zh-CN"/>
          <w14:textFill>
            <w14:solidFill>
              <w14:schemeClr w14:val="tx1"/>
            </w14:solidFill>
          </w14:textFill>
        </w:rPr>
        <w:t>执法支队、行政审批科、</w:t>
      </w:r>
      <w:r>
        <w:rPr>
          <w:rFonts w:hint="eastAsia" w:hAnsi="仿宋_GB2312" w:eastAsia="仿宋_GB2312" w:cs="仿宋_GB2312"/>
          <w:color w:val="000000" w:themeColor="text1"/>
          <w:sz w:val="32"/>
          <w:szCs w:val="32"/>
          <w:lang w:val="en-US" w:eastAsia="zh-CN"/>
          <w14:textFill>
            <w14:solidFill>
              <w14:schemeClr w14:val="tx1"/>
            </w14:solidFill>
          </w14:textFill>
        </w:rPr>
        <w:t>综合与监测应急科、水与海洋科、大气与固化科、土壤与生态科</w:t>
      </w:r>
      <w:r>
        <w:rPr>
          <w:rFonts w:hint="eastAsia"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560" w:lineRule="exact"/>
        <w:ind w:left="0" w:leftChars="0" w:right="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方正公文楷体" w:hAnsi="方正公文楷体" w:eastAsia="方正公文楷体" w:cs="方正公文楷体"/>
          <w:b/>
          <w:bCs/>
          <w:color w:val="000000" w:themeColor="text1"/>
          <w:sz w:val="32"/>
          <w:szCs w:val="32"/>
          <w:lang w:val="en-US" w:eastAsia="zh-CN" w:bidi="ar-SA"/>
          <w14:textFill>
            <w14:solidFill>
              <w14:schemeClr w14:val="tx1"/>
            </w14:solidFill>
          </w14:textFill>
        </w:rPr>
        <w:t>　（八）明确试点退出机制。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对于</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试点后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辖区生态环境质量未达到要求且持续恶化</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、试点行业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发生重大环境</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污染</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事件</w:t>
      </w:r>
      <w:r>
        <w:rPr>
          <w:rFonts w:hint="eastAsia" w:hAnsi="仿宋_GB2312" w:eastAsia="仿宋_GB2312" w:cs="仿宋_GB2312"/>
          <w:color w:val="000000" w:themeColor="text1"/>
          <w:kern w:val="2"/>
          <w:sz w:val="32"/>
          <w:szCs w:val="32"/>
          <w:lang w:val="en-US" w:eastAsia="zh-CN" w:bidi="ar-SA"/>
          <w14:textFill>
            <w14:solidFill>
              <w14:schemeClr w14:val="tx1"/>
            </w14:solidFill>
          </w14:textFill>
        </w:rPr>
        <w:t>、试点行业频繁被投诉等情形的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，终止改革试点。</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0" w:firstLineChars="200"/>
        <w:rPr>
          <w:rFonts w:hint="eastAsia" w:hAnsi="仿宋_GB2312" w:eastAsia="仿宋_GB2312" w:cs="仿宋_GB2312"/>
          <w:color w:val="000000" w:themeColor="text1"/>
          <w:sz w:val="32"/>
          <w:szCs w:val="32"/>
          <w:lang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w:t>
      </w:r>
      <w:r>
        <w:rPr>
          <w:rFonts w:hint="eastAsia" w:hAnsi="仿宋_GB2312" w:eastAsia="仿宋_GB2312" w:cs="仿宋_GB2312"/>
          <w:color w:val="000000" w:themeColor="text1"/>
          <w:sz w:val="32"/>
          <w:szCs w:val="32"/>
          <w:lang w:eastAsia="zh-CN"/>
          <w14:textFill>
            <w14:solidFill>
              <w14:schemeClr w14:val="tx1"/>
            </w14:solidFill>
          </w14:textFill>
        </w:rPr>
        <w:t>行政审批科、</w:t>
      </w:r>
      <w:r>
        <w:rPr>
          <w:rFonts w:hint="eastAsia" w:hAnsi="仿宋_GB2312" w:eastAsia="仿宋_GB2312" w:cs="仿宋_GB2312"/>
          <w:color w:val="000000" w:themeColor="text1"/>
          <w:sz w:val="32"/>
          <w:szCs w:val="32"/>
          <w:lang w:val="en-US" w:eastAsia="zh-CN"/>
          <w14:textFill>
            <w14:solidFill>
              <w14:schemeClr w14:val="tx1"/>
            </w14:solidFill>
          </w14:textFill>
        </w:rPr>
        <w:t>综合与监测应急科、水与海洋科、大气与固化科、土壤与生态科</w:t>
      </w:r>
      <w:r>
        <w:rPr>
          <w:rFonts w:hint="eastAsia" w:hAnsi="仿宋_GB2312" w:eastAsia="仿宋_GB2312" w:cs="仿宋_GB2312"/>
          <w:color w:val="000000" w:themeColor="text1"/>
          <w:sz w:val="32"/>
          <w:szCs w:val="32"/>
          <w:lang w:eastAsia="zh-CN"/>
          <w14:textFill>
            <w14:solidFill>
              <w14:schemeClr w14:val="tx1"/>
            </w14:solidFill>
          </w14:textFill>
        </w:rPr>
        <w:t>、执法支队。</w:t>
      </w:r>
    </w:p>
    <w:p>
      <w:pPr>
        <w:keepNext w:val="0"/>
        <w:keepLines w:val="0"/>
        <w:pageBreakBefore w:val="0"/>
        <w:widowControl w:val="0"/>
        <w:kinsoku/>
        <w:wordWrap/>
        <w:topLinePunct w:val="0"/>
        <w:autoSpaceDE/>
        <w:autoSpaceDN/>
        <w:bidi w:val="0"/>
        <w:spacing w:line="560" w:lineRule="exact"/>
        <w:ind w:left="0" w:leftChars="0" w:right="0"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四、试点工作进度</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1" w:firstLineChars="200"/>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（九）方案发布及实施。</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通过莆田市生态环境局网站、莆田生态环境微信公众号等新媒体及湄洲日报等传统媒</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介</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，发布莆田市全域范围开展“优化环境影响评价分类管理”试点工作情况公告，扩大政策知晓度。</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0" w:firstLineChars="200"/>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w:t>
      </w:r>
      <w:r>
        <w:rPr>
          <w:rFonts w:hint="eastAsia" w:hAnsi="仿宋_GB2312" w:eastAsia="仿宋_GB2312" w:cs="仿宋_GB2312"/>
          <w:color w:val="000000" w:themeColor="text1"/>
          <w:sz w:val="32"/>
          <w:szCs w:val="32"/>
          <w:lang w:eastAsia="zh-CN"/>
          <w14:textFill>
            <w14:solidFill>
              <w14:schemeClr w14:val="tx1"/>
            </w14:solidFill>
          </w14:textFill>
        </w:rPr>
        <w:t>行政审批科、环境宣教中心。</w:t>
      </w:r>
    </w:p>
    <w:p>
      <w:pPr>
        <w:pStyle w:val="16"/>
        <w:keepNext w:val="0"/>
        <w:keepLines w:val="0"/>
        <w:pageBreakBefore w:val="0"/>
        <w:widowControl w:val="0"/>
        <w:numPr>
          <w:ilvl w:val="0"/>
          <w:numId w:val="0"/>
        </w:numPr>
        <w:kinsoku/>
        <w:wordWrap/>
        <w:topLinePunct w:val="0"/>
        <w:autoSpaceDE/>
        <w:autoSpaceDN/>
        <w:bidi w:val="0"/>
        <w:spacing w:afterLines="0" w:line="600" w:lineRule="exact"/>
        <w:ind w:right="0" w:rightChars="0" w:firstLine="641" w:firstLineChars="2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（十）实施成效评估。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加强同其他试点城市经验借鉴和共性问题研讨，及时总结试点成效，梳理分析存在的问题及原因，不断完善相关工作措施，形成可复制、可推广的经验做法，2025年9月前形成试点总结报告。</w:t>
      </w:r>
    </w:p>
    <w:p>
      <w:pPr>
        <w:keepNext w:val="0"/>
        <w:keepLines w:val="0"/>
        <w:pageBreakBefore w:val="0"/>
        <w:widowControl w:val="0"/>
        <w:numPr>
          <w:ilvl w:val="0"/>
          <w:numId w:val="0"/>
        </w:numPr>
        <w:kinsoku/>
        <w:wordWrap/>
        <w:topLinePunct w:val="0"/>
        <w:autoSpaceDE/>
        <w:autoSpaceDN/>
        <w:bidi w:val="0"/>
        <w:spacing w:line="560" w:lineRule="exact"/>
        <w:ind w:right="0" w:rightChars="0" w:firstLine="640" w:firstLineChars="200"/>
        <w:rPr>
          <w:rFonts w:hint="eastAsia"/>
          <w:color w:val="000000" w:themeColor="text1"/>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责任单位：</w:t>
      </w:r>
      <w:r>
        <w:rPr>
          <w:rFonts w:hint="eastAsia" w:hAnsi="仿宋_GB2312" w:eastAsia="仿宋_GB2312" w:cs="仿宋_GB2312"/>
          <w:color w:val="000000" w:themeColor="text1"/>
          <w:sz w:val="32"/>
          <w:szCs w:val="32"/>
          <w:lang w:eastAsia="zh-CN"/>
          <w14:textFill>
            <w14:solidFill>
              <w14:schemeClr w14:val="tx1"/>
            </w14:solidFill>
          </w14:textFill>
        </w:rPr>
        <w:t>行政审批科、</w:t>
      </w:r>
      <w:r>
        <w:rPr>
          <w:rFonts w:hint="eastAsia" w:hAnsi="仿宋_GB2312" w:eastAsia="仿宋_GB2312" w:cs="仿宋_GB2312"/>
          <w:color w:val="000000" w:themeColor="text1"/>
          <w:sz w:val="32"/>
          <w:szCs w:val="32"/>
          <w:lang w:val="en-US" w:eastAsia="zh-CN"/>
          <w14:textFill>
            <w14:solidFill>
              <w14:schemeClr w14:val="tx1"/>
            </w14:solidFill>
          </w14:textFill>
        </w:rPr>
        <w:t>综合与监测应急科、水与海洋科、大气与固化科、土壤与生态科、</w:t>
      </w:r>
      <w:r>
        <w:rPr>
          <w:rFonts w:hint="eastAsia" w:hAnsi="仿宋_GB2312" w:eastAsia="仿宋_GB2312" w:cs="仿宋_GB2312"/>
          <w:color w:val="000000" w:themeColor="text1"/>
          <w:sz w:val="32"/>
          <w:szCs w:val="32"/>
          <w:lang w:eastAsia="zh-CN"/>
          <w14:textFill>
            <w14:solidFill>
              <w14:schemeClr w14:val="tx1"/>
            </w14:solidFill>
          </w14:textFill>
        </w:rPr>
        <w:t>执法支队、环科所。</w:t>
      </w:r>
    </w:p>
    <w:p>
      <w:pPr>
        <w:keepNext w:val="0"/>
        <w:keepLines w:val="0"/>
        <w:pageBreakBefore w:val="0"/>
        <w:widowControl w:val="0"/>
        <w:numPr>
          <w:ilvl w:val="0"/>
          <w:numId w:val="1"/>
        </w:numPr>
        <w:kinsoku/>
        <w:wordWrap/>
        <w:topLinePunct w:val="0"/>
        <w:autoSpaceDE/>
        <w:autoSpaceDN/>
        <w:bidi w:val="0"/>
        <w:spacing w:line="560" w:lineRule="exact"/>
        <w:ind w:left="0" w:leftChars="0" w:right="0" w:firstLine="720" w:firstLineChars="200"/>
        <w:rPr>
          <w:rFonts w:hint="eastAsia" w:ascii="黑体" w:hAnsi="黑体" w:eastAsia="黑体" w:cs="黑体"/>
          <w:color w:val="000000" w:themeColor="text1"/>
          <w:sz w:val="36"/>
          <w:szCs w:val="36"/>
          <w:highlight w:val="none"/>
          <w:lang w:val="en-US"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实施保障措施</w:t>
      </w:r>
    </w:p>
    <w:p>
      <w:pPr>
        <w:keepNext w:val="0"/>
        <w:keepLines w:val="0"/>
        <w:pageBreakBefore w:val="0"/>
        <w:widowControl w:val="0"/>
        <w:kinsoku/>
        <w:wordWrap/>
        <w:topLinePunct w:val="0"/>
        <w:autoSpaceDE/>
        <w:autoSpaceDN/>
        <w:bidi w:val="0"/>
        <w:spacing w:after="0" w:afterLines="-2147483648" w:line="560" w:lineRule="exact"/>
        <w:ind w:firstLine="641"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（十一）加强组织领导。</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建立以</w:t>
      </w:r>
      <w:r>
        <w:rPr>
          <w:rFonts w:hint="eastAsia" w:hAnsi="仿宋_GB2312" w:eastAsia="仿宋_GB2312" w:cs="仿宋_GB2312"/>
          <w:color w:val="000000" w:themeColor="text1"/>
          <w:sz w:val="32"/>
          <w:lang w:bidi="ar-SA"/>
          <w14:textFill>
            <w14:solidFill>
              <w14:schemeClr w14:val="tx1"/>
            </w14:solidFill>
          </w14:textFill>
        </w:rPr>
        <w:t>局党组书记、局长为组长,局班子成员为副组长</w:t>
      </w:r>
      <w:r>
        <w:rPr>
          <w:rFonts w:hint="eastAsia" w:ascii="仿宋_GB2312" w:hAnsi="仿宋_GB2312" w:eastAsia="仿宋_GB2312" w:cs="仿宋_GB2312"/>
          <w:color w:val="000000" w:themeColor="text1"/>
          <w:kern w:val="2"/>
          <w:sz w:val="32"/>
          <w:szCs w:val="32"/>
          <w:shd w:val="clear"/>
          <w:lang w:eastAsia="zh-CN" w:bidi="ar-SA"/>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各科室（直属单位）负责人</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、各县区（管委会）生态环境局局长</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为成员的</w:t>
      </w:r>
      <w:r>
        <w:rPr>
          <w:rFonts w:hint="eastAsia" w:hAnsi="仿宋_GB2312" w:eastAsia="仿宋_GB2312" w:cs="仿宋_GB2312"/>
          <w:color w:val="000000" w:themeColor="text1"/>
          <w:sz w:val="32"/>
          <w:szCs w:val="32"/>
          <w:lang w:eastAsia="zh-CN"/>
          <w14:textFill>
            <w14:solidFill>
              <w14:schemeClr w14:val="tx1"/>
            </w14:solidFill>
          </w14:textFill>
        </w:rPr>
        <w:t>试点工作</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领导小组，</w:t>
      </w:r>
      <w:r>
        <w:rPr>
          <w:rFonts w:hint="eastAsia" w:hAnsi="仿宋_GB2312" w:eastAsia="仿宋_GB2312" w:cs="仿宋_GB2312"/>
          <w:color w:val="000000" w:themeColor="text1"/>
          <w:sz w:val="32"/>
          <w:szCs w:val="32"/>
          <w:lang w:eastAsia="zh-CN"/>
          <w14:textFill>
            <w14:solidFill>
              <w14:schemeClr w14:val="tx1"/>
            </w14:solidFill>
          </w14:textFill>
        </w:rPr>
        <w:t>领导小组下设办公室，办公室设在市局行</w:t>
      </w:r>
      <w:r>
        <w:rPr>
          <w:rFonts w:hint="eastAsia" w:hAnsi="仿宋_GB2312" w:eastAsia="仿宋_GB2312" w:cs="仿宋_GB2312"/>
          <w:color w:val="000000" w:themeColor="text1"/>
          <w:sz w:val="32"/>
          <w:szCs w:val="32"/>
          <w:lang w:eastAsia="zh-CN" w:bidi="ar-SA"/>
          <w14:textFill>
            <w14:solidFill>
              <w14:schemeClr w14:val="tx1"/>
            </w14:solidFill>
          </w14:textFill>
        </w:rPr>
        <w:t>政审批科，</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切实加强对</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试点</w:t>
      </w:r>
      <w:r>
        <w:rPr>
          <w:rFonts w:hint="eastAsia" w:ascii="仿宋_GB2312"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工作的组织协调。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1" w:firstLineChars="200"/>
        <w:jc w:val="both"/>
        <w:textAlignment w:val="auto"/>
        <w:outlineLvl w:val="9"/>
        <w:rPr>
          <w:rFonts w:hint="eastAsia" w:ascii="仿宋_GB2312" w:hAnsi="仿宋_GB2312" w:eastAsia="仿宋_GB2312" w:cs="仿宋_GB2312"/>
          <w:color w:val="000000" w:themeColor="text1"/>
          <w:sz w:val="32"/>
          <w:szCs w:val="32"/>
          <w:lang w:eastAsia="zh-CN" w:bidi="ar"/>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（十二）强化技术保障。</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制定</w:t>
      </w:r>
      <w:r>
        <w:rPr>
          <w:rFonts w:hint="eastAsia" w:hAnsi="仿宋_GB2312" w:eastAsia="仿宋_GB2312" w:cs="仿宋_GB2312"/>
          <w:color w:val="000000" w:themeColor="text1"/>
          <w:sz w:val="32"/>
          <w:szCs w:val="32"/>
          <w:lang w:eastAsia="zh-CN" w:bidi="ar"/>
          <w14:textFill>
            <w14:solidFill>
              <w14:schemeClr w14:val="tx1"/>
            </w14:solidFill>
          </w14:textFill>
        </w:rPr>
        <w:t>试点</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行业环境准入指引，</w:t>
      </w:r>
      <w:r>
        <w:rPr>
          <w:rFonts w:hint="eastAsia" w:hAnsi="仿宋_GB2312" w:eastAsia="仿宋_GB2312" w:cs="仿宋_GB2312"/>
          <w:color w:val="000000" w:themeColor="text1"/>
          <w:sz w:val="32"/>
          <w:szCs w:val="32"/>
          <w:lang w:eastAsia="zh-CN" w:bidi="ar"/>
          <w14:textFill>
            <w14:solidFill>
              <w14:schemeClr w14:val="tx1"/>
            </w14:solidFill>
          </w14:textFill>
        </w:rPr>
        <w:t>组织各县</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区（管委会）</w:t>
      </w:r>
      <w:r>
        <w:rPr>
          <w:rFonts w:hint="eastAsia" w:hAnsi="仿宋_GB2312" w:eastAsia="仿宋_GB2312" w:cs="仿宋_GB2312"/>
          <w:color w:val="000000" w:themeColor="text1"/>
          <w:sz w:val="32"/>
          <w:szCs w:val="32"/>
          <w:lang w:eastAsia="zh-CN" w:bidi="ar"/>
          <w14:textFill>
            <w14:solidFill>
              <w14:schemeClr w14:val="tx1"/>
            </w14:solidFill>
          </w14:textFill>
        </w:rPr>
        <w:t>生态环境局环评审批负责人</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参与开展技术支撑工作。定期就试点过程中遇到的问题及时组织研讨，争取试出经验、试出成果。</w:t>
      </w:r>
    </w:p>
    <w:p>
      <w:pPr>
        <w:keepNext w:val="0"/>
        <w:keepLines w:val="0"/>
        <w:pageBreakBefore w:val="0"/>
        <w:widowControl w:val="0"/>
        <w:kinsoku/>
        <w:wordWrap/>
        <w:topLinePunct w:val="0"/>
        <w:autoSpaceDE/>
        <w:autoSpaceDN/>
        <w:bidi w:val="0"/>
        <w:spacing w:line="560" w:lineRule="exact"/>
        <w:ind w:left="0" w:leftChars="0" w:right="0" w:firstLine="641"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公文楷体" w:hAnsi="方正公文楷体" w:eastAsia="方正公文楷体" w:cs="方正公文楷体"/>
          <w:b/>
          <w:bCs/>
          <w:color w:val="000000" w:themeColor="text1"/>
          <w:sz w:val="32"/>
          <w:szCs w:val="32"/>
          <w:lang w:eastAsia="zh-CN"/>
          <w14:textFill>
            <w14:solidFill>
              <w14:schemeClr w14:val="tx1"/>
            </w14:solidFill>
          </w14:textFill>
        </w:rPr>
        <w:t>（十三）做好宣传引导。</w:t>
      </w:r>
      <w:r>
        <w:rPr>
          <w:rFonts w:hint="eastAsia" w:hAnsi="仿宋_GB2312" w:eastAsia="仿宋_GB2312" w:cs="仿宋_GB2312"/>
          <w:color w:val="000000" w:themeColor="text1"/>
          <w:sz w:val="32"/>
          <w:szCs w:val="32"/>
          <w:lang w:eastAsia="zh-CN"/>
          <w14:textFill>
            <w14:solidFill>
              <w14:schemeClr w14:val="tx1"/>
            </w14:solidFill>
          </w14:textFill>
        </w:rPr>
        <w:t>充分认识试点工作对推进我市</w:t>
      </w:r>
      <w:r>
        <w:rPr>
          <w:rFonts w:hint="eastAsia" w:ascii="仿宋_GB2312" w:hAnsi="仿宋_GB2312" w:eastAsia="仿宋_GB2312" w:cs="仿宋_GB2312"/>
          <w:color w:val="000000" w:themeColor="text1"/>
          <w:sz w:val="32"/>
          <w:szCs w:val="32"/>
          <w:lang w:eastAsia="zh-CN"/>
          <w14:textFill>
            <w14:solidFill>
              <w14:schemeClr w14:val="tx1"/>
            </w14:solidFill>
          </w14:textFill>
        </w:rPr>
        <w:t>环境影响评价与排污许可制度改革</w:t>
      </w:r>
      <w:r>
        <w:rPr>
          <w:rFonts w:hint="eastAsia" w:hAnsi="仿宋_GB2312" w:eastAsia="仿宋_GB2312" w:cs="仿宋_GB2312"/>
          <w:color w:val="000000" w:themeColor="text1"/>
          <w:sz w:val="32"/>
          <w:szCs w:val="32"/>
          <w:lang w:eastAsia="zh-CN"/>
          <w14:textFill>
            <w14:solidFill>
              <w14:schemeClr w14:val="tx1"/>
            </w14:solidFill>
          </w14:textFill>
        </w:rPr>
        <w:t>的重大意义，加大正面宣传引导和政策解读力度，营造良好实施环境</w:t>
      </w:r>
      <w:r>
        <w:rPr>
          <w:rFonts w:hint="eastAsia" w:ascii="仿宋_GB2312" w:hAnsi="仿宋_GB2312" w:eastAsia="仿宋_GB2312" w:cs="仿宋_GB2312"/>
          <w:color w:val="000000" w:themeColor="text1"/>
          <w:sz w:val="32"/>
          <w:szCs w:val="32"/>
          <w14:textFill>
            <w14:solidFill>
              <w14:schemeClr w14:val="tx1"/>
            </w14:solidFill>
          </w14:textFill>
        </w:rPr>
        <w:t>，为试点工作打好基础。</w:t>
      </w:r>
    </w:p>
    <w:p>
      <w:pPr>
        <w:pStyle w:val="16"/>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附件：1.办事指南</w:t>
      </w:r>
    </w:p>
    <w:p>
      <w:pPr>
        <w:ind w:firstLine="1600" w:firstLineChars="5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2.办理流程图</w:t>
      </w:r>
    </w:p>
    <w:p>
      <w:pPr>
        <w:ind w:firstLine="1600" w:firstLineChars="5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3.申请函</w:t>
      </w:r>
    </w:p>
    <w:p>
      <w:pPr>
        <w:ind w:left="1916" w:leftChars="570" w:hanging="320" w:hangingChars="10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4.复函格式</w:t>
      </w:r>
    </w:p>
    <w:p>
      <w:pPr>
        <w:ind w:left="1596" w:leftChars="570" w:firstLine="0" w:firstLineChars="0"/>
        <w:rPr>
          <w:rFonts w:hint="eastAsia"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val="en-US" w:eastAsia="zh-CN"/>
          <w14:textFill>
            <w14:solidFill>
              <w14:schemeClr w14:val="tx1"/>
            </w14:solidFill>
          </w14:textFill>
        </w:rPr>
        <w:t>5.环境准入指引</w:t>
      </w:r>
    </w:p>
    <w:p>
      <w:pPr>
        <w:ind w:left="1596" w:leftChars="570" w:firstLine="0" w:firstLineChars="0"/>
        <w:rPr>
          <w:rFonts w:hint="eastAsia" w:hAnsi="仿宋_GB2312" w:eastAsia="仿宋_GB2312" w:cs="仿宋_GB2312"/>
          <w:color w:val="000000" w:themeColor="text1"/>
          <w:sz w:val="32"/>
          <w:szCs w:val="32"/>
          <w:lang w:val="en-US" w:eastAsia="zh-CN"/>
          <w14:textFill>
            <w14:solidFill>
              <w14:schemeClr w14:val="tx1"/>
            </w14:solidFill>
          </w14:textFill>
        </w:rPr>
      </w:pPr>
    </w:p>
    <w:p>
      <w:pPr>
        <w:pStyle w:val="3"/>
        <w:rPr>
          <w:rFonts w:hint="eastAsia"/>
          <w:color w:val="000000" w:themeColor="text1"/>
          <w:lang w:val="en-US" w:eastAsia="zh-CN"/>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ascii="仿宋_GB2312" w:hAnsi="等线" w:eastAsia="黑体" w:cs="Times New Roman"/>
          <w:color w:val="000000" w:themeColor="text1"/>
          <w:kern w:val="0"/>
          <w:sz w:val="32"/>
          <w:szCs w:val="32"/>
          <w:lang w:val="en-US" w:eastAsia="zh-Hans"/>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ascii="仿宋_GB2312" w:hAnsi="等线" w:eastAsia="黑体" w:cs="Times New Roman"/>
          <w:color w:val="000000" w:themeColor="text1"/>
          <w:kern w:val="0"/>
          <w:sz w:val="32"/>
          <w:szCs w:val="32"/>
          <w:lang w:val="en-US" w:eastAsia="zh-Hans"/>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ascii="仿宋_GB2312" w:hAnsi="等线" w:eastAsia="黑体" w:cs="Times New Roman"/>
          <w:color w:val="000000" w:themeColor="text1"/>
          <w:kern w:val="0"/>
          <w:sz w:val="32"/>
          <w:szCs w:val="32"/>
          <w:lang w:val="en-US" w:eastAsia="zh-Hans"/>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eastAsia="黑体"/>
          <w:color w:val="000000" w:themeColor="text1"/>
          <w:kern w:val="0"/>
          <w:sz w:val="32"/>
          <w:szCs w:val="32"/>
          <w:lang w:val="en-US" w:eastAsia="zh-Hans"/>
          <w14:textFill>
            <w14:solidFill>
              <w14:schemeClr w14:val="tx1"/>
            </w14:solidFill>
          </w14:textFill>
        </w:rPr>
      </w:pPr>
      <w:r>
        <w:rPr>
          <w:rFonts w:hint="eastAsia" w:ascii="仿宋_GB2312" w:hAnsi="等线" w:eastAsia="黑体" w:cs="Times New Roman"/>
          <w:color w:val="000000" w:themeColor="text1"/>
          <w:kern w:val="0"/>
          <w:sz w:val="32"/>
          <w:szCs w:val="32"/>
          <w:lang w:val="en-US" w:eastAsia="zh-Hans"/>
          <w14:textFill>
            <w14:solidFill>
              <w14:schemeClr w14:val="tx1"/>
            </w14:solidFill>
          </w14:textFill>
        </w:rPr>
        <w:t>附件1</w:t>
      </w:r>
    </w:p>
    <w:p>
      <w:pPr>
        <w:adjustRightInd w:val="0"/>
        <w:snapToGrid w:val="0"/>
        <w:spacing w:line="560" w:lineRule="exact"/>
        <w:jc w:val="center"/>
        <w:rPr>
          <w:rFonts w:eastAsia="仿宋_GB2312"/>
          <w:color w:val="000000" w:themeColor="text1"/>
          <w:kern w:val="0"/>
          <w:sz w:val="36"/>
          <w:szCs w:val="36"/>
          <w:lang w:bidi="ar"/>
          <w14:textFill>
            <w14:solidFill>
              <w14:schemeClr w14:val="tx1"/>
            </w14:solidFill>
          </w14:textFill>
        </w:rPr>
      </w:pPr>
      <w:r>
        <w:rPr>
          <w:rFonts w:hint="eastAsia" w:eastAsia="方正小标宋简体"/>
          <w:color w:val="000000" w:themeColor="text1"/>
          <w:sz w:val="36"/>
          <w:szCs w:val="36"/>
          <w:lang w:val="en-US" w:eastAsia="zh-Hans"/>
          <w14:textFill>
            <w14:solidFill>
              <w14:schemeClr w14:val="tx1"/>
            </w14:solidFill>
          </w14:textFill>
        </w:rPr>
        <w:t>莆田市试点行业取消项目环评办事指南</w:t>
      </w:r>
    </w:p>
    <w:p>
      <w:pPr>
        <w:tabs>
          <w:tab w:val="left" w:pos="420"/>
        </w:tabs>
        <w:spacing w:line="560" w:lineRule="exact"/>
        <w:ind w:firstLine="600" w:firstLineChars="200"/>
        <w:outlineLvl w:val="0"/>
        <w:rPr>
          <w:rFonts w:hint="eastAsia" w:eastAsia="黑体"/>
          <w:color w:val="000000" w:themeColor="text1"/>
          <w:kern w:val="0"/>
          <w:sz w:val="30"/>
          <w:szCs w:val="30"/>
          <w:lang w:eastAsia="zh-Hans"/>
          <w14:textFill>
            <w14:solidFill>
              <w14:schemeClr w14:val="tx1"/>
            </w14:solidFill>
          </w14:textFill>
        </w:rPr>
      </w:pPr>
    </w:p>
    <w:p>
      <w:pPr>
        <w:tabs>
          <w:tab w:val="left" w:pos="420"/>
        </w:tabs>
        <w:spacing w:line="580" w:lineRule="exact"/>
        <w:ind w:firstLine="600" w:firstLineChars="200"/>
        <w:outlineLvl w:val="0"/>
        <w:rPr>
          <w:rFonts w:hint="eastAsia" w:eastAsia="黑体"/>
          <w:color w:val="000000" w:themeColor="text1"/>
          <w:kern w:val="0"/>
          <w:sz w:val="30"/>
          <w:szCs w:val="30"/>
          <w:lang w:eastAsia="zh-Hans"/>
          <w14:textFill>
            <w14:solidFill>
              <w14:schemeClr w14:val="tx1"/>
            </w14:solidFill>
          </w14:textFill>
        </w:rPr>
      </w:pPr>
      <w:r>
        <w:rPr>
          <w:rFonts w:hint="eastAsia" w:eastAsia="黑体"/>
          <w:color w:val="000000" w:themeColor="text1"/>
          <w:kern w:val="0"/>
          <w:sz w:val="30"/>
          <w:szCs w:val="30"/>
          <w:lang w:eastAsia="zh-Hans"/>
          <w14:textFill>
            <w14:solidFill>
              <w14:schemeClr w14:val="tx1"/>
            </w14:solidFill>
          </w14:textFill>
        </w:rPr>
        <w:t>一</w:t>
      </w:r>
      <w:r>
        <w:rPr>
          <w:rFonts w:eastAsia="黑体"/>
          <w:color w:val="000000" w:themeColor="text1"/>
          <w:kern w:val="0"/>
          <w:sz w:val="30"/>
          <w:szCs w:val="30"/>
          <w14:textFill>
            <w14:solidFill>
              <w14:schemeClr w14:val="tx1"/>
            </w14:solidFill>
          </w14:textFill>
        </w:rPr>
        <w:t>、</w:t>
      </w:r>
      <w:r>
        <w:rPr>
          <w:rFonts w:hint="eastAsia" w:eastAsia="黑体"/>
          <w:color w:val="000000" w:themeColor="text1"/>
          <w:kern w:val="0"/>
          <w:sz w:val="30"/>
          <w:szCs w:val="30"/>
          <w:lang w:eastAsia="zh-CN"/>
          <w14:textFill>
            <w14:solidFill>
              <w14:schemeClr w14:val="tx1"/>
            </w14:solidFill>
          </w14:textFill>
        </w:rPr>
        <w:t>行业</w:t>
      </w:r>
      <w:r>
        <w:rPr>
          <w:rFonts w:hint="eastAsia" w:eastAsia="黑体"/>
          <w:color w:val="000000" w:themeColor="text1"/>
          <w:kern w:val="0"/>
          <w:sz w:val="30"/>
          <w:szCs w:val="30"/>
          <w:lang w:eastAsia="zh-Hans"/>
          <w14:textFill>
            <w14:solidFill>
              <w14:schemeClr w14:val="tx1"/>
            </w14:solidFill>
          </w14:textFill>
        </w:rPr>
        <w:t>范围</w:t>
      </w:r>
    </w:p>
    <w:p>
      <w:pPr>
        <w:widowControl/>
        <w:shd w:val="clear" w:color="auto" w:fill="FFFFFF"/>
        <w:spacing w:line="580" w:lineRule="exact"/>
        <w:ind w:firstLine="645"/>
        <w:rPr>
          <w:rFonts w:hint="eastAsia" w:ascii="仿宋_GB2312" w:hAnsi="仿宋_GB2312" w:eastAsia="仿宋_GB2312" w:cs="仿宋_GB2312"/>
          <w:color w:val="000000" w:themeColor="text1"/>
          <w:kern w:val="0"/>
          <w:sz w:val="30"/>
          <w:szCs w:val="30"/>
          <w:lang w:eastAsia="zh-Hans"/>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Hans"/>
          <w14:textFill>
            <w14:solidFill>
              <w14:schemeClr w14:val="tx1"/>
            </w14:solidFill>
          </w14:textFill>
        </w:rPr>
        <w:t>对照《建设项目环境影响评价分类管理名录》（</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2021</w:t>
      </w:r>
      <w:r>
        <w:rPr>
          <w:rFonts w:hint="eastAsia" w:hAnsi="仿宋_GB2312" w:eastAsia="仿宋_GB2312" w:cs="仿宋_GB2312"/>
          <w:color w:val="000000" w:themeColor="text1"/>
          <w:kern w:val="0"/>
          <w:sz w:val="30"/>
          <w:szCs w:val="30"/>
          <w:lang w:val="en-US" w:eastAsia="zh-CN"/>
          <w14:textFill>
            <w14:solidFill>
              <w14:schemeClr w14:val="tx1"/>
            </w14:solidFill>
          </w14:textFill>
        </w:rPr>
        <w:t>年</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版</w:t>
      </w:r>
      <w:r>
        <w:rPr>
          <w:rFonts w:hint="eastAsia" w:ascii="仿宋_GB2312" w:hAnsi="仿宋_GB2312" w:eastAsia="仿宋_GB2312" w:cs="仿宋_GB2312"/>
          <w:color w:val="000000" w:themeColor="text1"/>
          <w:kern w:val="0"/>
          <w:sz w:val="30"/>
          <w:szCs w:val="30"/>
          <w:lang w:eastAsia="zh-Hans"/>
          <w14:textFill>
            <w14:solidFill>
              <w14:schemeClr w14:val="tx1"/>
            </w14:solidFill>
          </w14:textFill>
        </w:rPr>
        <w:t>）行业类别：制鞋业</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195*（年用溶剂型处理剂3吨及以上的）、木质家具制造211*（年用非溶剂型低VOCs含量涂料10吨及以上的）、纸制品制造223*（所有报告表）、印刷231*（所有报告表）</w:t>
      </w:r>
      <w:r>
        <w:rPr>
          <w:rFonts w:hint="eastAsia" w:ascii="仿宋_GB2312" w:hAnsi="仿宋_GB2312" w:eastAsia="仿宋_GB2312" w:cs="仿宋_GB2312"/>
          <w:color w:val="000000" w:themeColor="text1"/>
          <w:kern w:val="0"/>
          <w:sz w:val="30"/>
          <w:szCs w:val="30"/>
          <w:lang w:eastAsia="zh-Hans"/>
          <w14:textFill>
            <w14:solidFill>
              <w14:schemeClr w14:val="tx1"/>
            </w14:solidFill>
          </w14:textFill>
        </w:rPr>
        <w:t>。</w:t>
      </w:r>
    </w:p>
    <w:p>
      <w:pPr>
        <w:tabs>
          <w:tab w:val="left" w:pos="420"/>
        </w:tabs>
        <w:spacing w:line="580" w:lineRule="exact"/>
        <w:ind w:firstLine="600" w:firstLineChars="200"/>
        <w:outlineLvl w:val="0"/>
        <w:rPr>
          <w:rFonts w:eastAsia="黑体"/>
          <w:color w:val="000000" w:themeColor="text1"/>
          <w:kern w:val="0"/>
          <w:sz w:val="30"/>
          <w:szCs w:val="30"/>
          <w:lang w:eastAsia="zh-Hans"/>
          <w14:textFill>
            <w14:solidFill>
              <w14:schemeClr w14:val="tx1"/>
            </w14:solidFill>
          </w14:textFill>
        </w:rPr>
      </w:pPr>
      <w:r>
        <w:rPr>
          <w:rFonts w:hint="eastAsia" w:eastAsia="黑体"/>
          <w:color w:val="000000" w:themeColor="text1"/>
          <w:kern w:val="0"/>
          <w:sz w:val="30"/>
          <w:szCs w:val="30"/>
          <w:lang w:eastAsia="zh-Hans"/>
          <w14:textFill>
            <w14:solidFill>
              <w14:schemeClr w14:val="tx1"/>
            </w14:solidFill>
          </w14:textFill>
        </w:rPr>
        <w:t>二</w:t>
      </w:r>
      <w:r>
        <w:rPr>
          <w:rFonts w:eastAsia="黑体"/>
          <w:color w:val="000000" w:themeColor="text1"/>
          <w:kern w:val="0"/>
          <w:sz w:val="30"/>
          <w:szCs w:val="30"/>
          <w14:textFill>
            <w14:solidFill>
              <w14:schemeClr w14:val="tx1"/>
            </w14:solidFill>
          </w14:textFill>
        </w:rPr>
        <w:t>、</w:t>
      </w:r>
      <w:r>
        <w:rPr>
          <w:rFonts w:hint="eastAsia" w:eastAsia="黑体"/>
          <w:color w:val="000000" w:themeColor="text1"/>
          <w:kern w:val="0"/>
          <w:sz w:val="30"/>
          <w:szCs w:val="30"/>
          <w:lang w:eastAsia="zh-Hans"/>
          <w14:textFill>
            <w14:solidFill>
              <w14:schemeClr w14:val="tx1"/>
            </w14:solidFill>
          </w14:textFill>
        </w:rPr>
        <w:t>办理流程</w:t>
      </w:r>
    </w:p>
    <w:p>
      <w:pPr>
        <w:widowControl/>
        <w:shd w:val="clear" w:color="auto" w:fill="FFFFFF"/>
        <w:spacing w:line="580" w:lineRule="exact"/>
        <w:ind w:firstLine="645"/>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（一）</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建设单位</w:t>
      </w:r>
      <w:r>
        <w:rPr>
          <w:rFonts w:hint="eastAsia" w:hAnsi="仿宋_GB2312" w:eastAsia="仿宋_GB2312" w:cs="仿宋_GB2312"/>
          <w:color w:val="000000" w:themeColor="text1"/>
          <w:kern w:val="0"/>
          <w:sz w:val="30"/>
          <w:szCs w:val="30"/>
          <w:lang w:val="en-US" w:eastAsia="zh-CN"/>
          <w14:textFill>
            <w14:solidFill>
              <w14:schemeClr w14:val="tx1"/>
            </w14:solidFill>
          </w14:textFill>
        </w:rPr>
        <w:t>根据自愿原则</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向</w:t>
      </w:r>
      <w:r>
        <w:rPr>
          <w:rFonts w:hint="eastAsia" w:hAnsi="仿宋_GB2312" w:eastAsia="仿宋_GB2312" w:cs="仿宋_GB2312"/>
          <w:color w:val="000000" w:themeColor="text1"/>
          <w:kern w:val="0"/>
          <w:sz w:val="30"/>
          <w:szCs w:val="30"/>
          <w:lang w:val="en-US" w:eastAsia="zh-CN"/>
          <w14:textFill>
            <w14:solidFill>
              <w14:schemeClr w14:val="tx1"/>
            </w14:solidFill>
          </w14:textFill>
        </w:rPr>
        <w:t>属地</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县</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区（管委会）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生态环境局</w:t>
      </w:r>
      <w:r>
        <w:rPr>
          <w:rFonts w:hint="eastAsia" w:hAnsi="仿宋_GB2312" w:eastAsia="仿宋_GB2312" w:cs="仿宋_GB2312"/>
          <w:color w:val="000000" w:themeColor="text1"/>
          <w:kern w:val="0"/>
          <w:sz w:val="30"/>
          <w:szCs w:val="30"/>
          <w:lang w:val="en-US" w:eastAsia="zh-CN"/>
          <w14:textFill>
            <w14:solidFill>
              <w14:schemeClr w14:val="tx1"/>
            </w14:solidFill>
          </w14:textFill>
        </w:rPr>
        <w:t>提交申请试点的函（格式见附件3），</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属地县区</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（管委会）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生态环境</w:t>
      </w:r>
      <w:r>
        <w:rPr>
          <w:rFonts w:hint="eastAsia" w:hAnsi="仿宋_GB2312" w:eastAsia="仿宋_GB2312" w:cs="仿宋_GB2312"/>
          <w:color w:val="000000" w:themeColor="text1"/>
          <w:kern w:val="0"/>
          <w:sz w:val="30"/>
          <w:szCs w:val="30"/>
          <w:lang w:val="en-US" w:eastAsia="zh-CN"/>
          <w14:textFill>
            <w14:solidFill>
              <w14:schemeClr w14:val="tx1"/>
            </w14:solidFill>
          </w14:textFill>
        </w:rPr>
        <w:t>局</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主动与项目立项主管部门对接，并建立试点项目台账。</w:t>
      </w:r>
    </w:p>
    <w:p>
      <w:pPr>
        <w:widowControl/>
        <w:shd w:val="clear" w:color="auto" w:fill="FFFFFF"/>
        <w:spacing w:line="580" w:lineRule="exact"/>
        <w:ind w:firstLine="645"/>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（二）属地县</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区（管委会）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生态环境局</w:t>
      </w:r>
      <w:r>
        <w:rPr>
          <w:rFonts w:hint="eastAsia" w:hAnsi="仿宋_GB2312" w:eastAsia="仿宋_GB2312" w:cs="仿宋_GB2312"/>
          <w:color w:val="000000" w:themeColor="text1"/>
          <w:kern w:val="0"/>
          <w:sz w:val="30"/>
          <w:szCs w:val="30"/>
          <w:lang w:val="en-US" w:eastAsia="zh-CN"/>
          <w14:textFill>
            <w14:solidFill>
              <w14:schemeClr w14:val="tx1"/>
            </w14:solidFill>
          </w14:textFill>
        </w:rPr>
        <w:t>收到建设单位试点申请后5个工作日内</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开展试点项目符合性分析，</w:t>
      </w:r>
      <w:r>
        <w:rPr>
          <w:rFonts w:hint="eastAsia" w:ascii="仿宋_GB2312" w:hAnsi="仿宋_GB2312" w:eastAsia="仿宋_GB2312" w:cs="仿宋_GB2312"/>
          <w:color w:val="000000" w:themeColor="text1"/>
          <w:kern w:val="0"/>
          <w:sz w:val="30"/>
          <w:szCs w:val="30"/>
          <w:lang w:val="en-US" w:eastAsia="zh-Hans" w:bidi="ar"/>
          <w14:textFill>
            <w14:solidFill>
              <w14:schemeClr w14:val="tx1"/>
            </w14:solidFill>
          </w14:textFill>
        </w:rPr>
        <w:t>并</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按如下情形分类处理：</w:t>
      </w:r>
    </w:p>
    <w:p>
      <w:pPr>
        <w:spacing w:line="580" w:lineRule="exact"/>
        <w:ind w:firstLine="600" w:firstLineChars="200"/>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申请</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属于</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试点行业</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范围</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的，开展生态环境分区管控要求符合性分析，重点审查项目与生态环境准入清单空间布局约束管控要求的符合性。</w:t>
      </w:r>
    </w:p>
    <w:p>
      <w:pPr>
        <w:spacing w:line="580" w:lineRule="exact"/>
        <w:ind w:firstLine="600" w:firstLineChars="200"/>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满足要求的，</w:t>
      </w:r>
      <w:r>
        <w:rPr>
          <w:rFonts w:hint="eastAsia" w:hAnsi="仿宋_GB2312" w:eastAsia="仿宋_GB2312" w:cs="仿宋_GB2312"/>
          <w:color w:val="000000" w:themeColor="text1"/>
          <w:kern w:val="0"/>
          <w:sz w:val="30"/>
          <w:szCs w:val="30"/>
          <w:lang w:eastAsia="zh-CN" w:bidi="ar"/>
          <w14:textFill>
            <w14:solidFill>
              <w14:schemeClr w14:val="tx1"/>
            </w14:solidFill>
          </w14:textFill>
        </w:rPr>
        <w:t>报市生态环境局审核后函复建设单位（格式详见附件</w:t>
      </w: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4</w:t>
      </w:r>
      <w:r>
        <w:rPr>
          <w:rFonts w:hint="eastAsia" w:hAnsi="仿宋_GB2312" w:eastAsia="仿宋_GB2312" w:cs="仿宋_GB2312"/>
          <w:color w:val="000000" w:themeColor="text1"/>
          <w:kern w:val="0"/>
          <w:sz w:val="30"/>
          <w:szCs w:val="30"/>
          <w:lang w:eastAsia="zh-CN" w:bidi="ar"/>
          <w14:textFill>
            <w14:solidFill>
              <w14:schemeClr w14:val="tx1"/>
            </w14:solidFill>
          </w14:textFill>
        </w:rPr>
        <w:t>），</w:t>
      </w: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并抄送属地</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园区管委</w:t>
      </w:r>
      <w:r>
        <w:rPr>
          <w:rFonts w:hint="eastAsia" w:hAnsi="仿宋_GB2312" w:eastAsia="仿宋_GB2312" w:cs="仿宋_GB2312"/>
          <w:color w:val="000000" w:themeColor="text1"/>
          <w:kern w:val="0"/>
          <w:sz w:val="30"/>
          <w:szCs w:val="30"/>
          <w:lang w:val="en-US" w:eastAsia="zh-CN"/>
          <w14:textFill>
            <w14:solidFill>
              <w14:schemeClr w14:val="tx1"/>
            </w14:solidFill>
          </w14:textFill>
        </w:rPr>
        <w:t>会或属地乡镇人民政府</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spacing w:line="580" w:lineRule="exact"/>
        <w:ind w:firstLine="600" w:firstLineChars="200"/>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不满足要求的，提出优化调整项目建设内容或重新选址意见。</w:t>
      </w:r>
    </w:p>
    <w:p>
      <w:pPr>
        <w:spacing w:line="580" w:lineRule="exact"/>
        <w:ind w:firstLine="600" w:firstLineChars="200"/>
        <w:rPr>
          <w:rFonts w:hint="eastAsia"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申请</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不属于</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试点项目行业</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范围</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的，</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告知</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依照《建设项目环境影响评价分类管理名录》</w:t>
      </w:r>
      <w:r>
        <w:rPr>
          <w:rFonts w:hint="eastAsia" w:hAnsi="仿宋_GB2312" w:eastAsia="仿宋_GB2312" w:cs="仿宋_GB2312"/>
          <w:color w:val="000000" w:themeColor="text1"/>
          <w:kern w:val="0"/>
          <w:sz w:val="30"/>
          <w:szCs w:val="30"/>
          <w:lang w:eastAsia="zh-CN" w:bidi="ar"/>
          <w14:textFill>
            <w14:solidFill>
              <w14:schemeClr w14:val="tx1"/>
            </w14:solidFill>
          </w14:textFill>
        </w:rPr>
        <w:t>（</w:t>
      </w: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2021年版</w:t>
      </w:r>
      <w:r>
        <w:rPr>
          <w:rFonts w:hint="eastAsia" w:hAnsi="仿宋_GB2312" w:eastAsia="仿宋_GB2312" w:cs="仿宋_GB2312"/>
          <w:color w:val="000000" w:themeColor="text1"/>
          <w:kern w:val="0"/>
          <w:sz w:val="30"/>
          <w:szCs w:val="30"/>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相关规定</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办理环评手续</w:t>
      </w:r>
      <w:r>
        <w:rPr>
          <w:rFonts w:hint="eastAsia" w:ascii="仿宋_GB2312" w:hAnsi="仿宋_GB2312" w:eastAsia="仿宋_GB2312" w:cs="仿宋_GB2312"/>
          <w:color w:val="000000" w:themeColor="text1"/>
          <w:kern w:val="0"/>
          <w:sz w:val="30"/>
          <w:szCs w:val="30"/>
          <w:lang w:bidi="ar"/>
          <w14:textFill>
            <w14:solidFill>
              <w14:schemeClr w14:val="tx1"/>
            </w14:solidFill>
          </w14:textFill>
        </w:rPr>
        <w:t>。</w:t>
      </w:r>
    </w:p>
    <w:p>
      <w:pPr>
        <w:pStyle w:val="16"/>
        <w:numPr>
          <w:ilvl w:val="0"/>
          <w:numId w:val="2"/>
        </w:numPr>
        <w:spacing w:line="580" w:lineRule="exact"/>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建设单位在项目建设前直接</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向</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属地县</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区（管委会）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生态环境局</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申领排污许可证或进行排污登记</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并</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将</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试点申请函和函复材料纳入</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“全国排污许可证管理信息平台”</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排污许可证/登记申领</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的附件</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材料。其中，试点项目建设单位按规定需购买排污权指标的，于排污许可证申领/排污登记前提交排污权交易凭证。申报流程：</w:t>
      </w:r>
    </w:p>
    <w:p>
      <w:pPr>
        <w:pStyle w:val="16"/>
        <w:spacing w:line="580" w:lineRule="exact"/>
        <w:ind w:left="0" w:leftChars="0"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1.对照《固定污染源排污许可分类管理名录》（2019年版）属登记管理的排污单位通过“全国排污许可证管理信息平台”填报排污登记表。</w:t>
      </w:r>
    </w:p>
    <w:p>
      <w:pPr>
        <w:pStyle w:val="16"/>
        <w:spacing w:line="580" w:lineRule="exact"/>
        <w:ind w:left="0" w:leftChars="0"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对照《固定污染源排污许可分类管理名录》（2019年版）属排污许可发证管理的排污单位通过“全国排污许可证管理信息平台”和“福建省网上办事大厅”提交排污许可证申报材料。审批部门收到排污许可证申请后开展审查，申报材料经审查符合条件的，予以核发排污许可证；不符合条件的不予许可。申报材料需退回修改的，退回申报材料并一次性告知修改意见。</w:t>
      </w:r>
    </w:p>
    <w:p>
      <w:pPr>
        <w:widowControl/>
        <w:numPr>
          <w:ilvl w:val="0"/>
          <w:numId w:val="0"/>
        </w:numPr>
        <w:shd w:val="clear" w:color="auto" w:fill="FFFFFF"/>
        <w:spacing w:line="580" w:lineRule="exact"/>
        <w:ind w:firstLine="600" w:firstLineChars="200"/>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（四）试点项目取得排污许可证或已进行排污登记的，即可开工建设。</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在建设期、建成后投产前，属地县</w:t>
      </w:r>
      <w:r>
        <w:rPr>
          <w:rFonts w:hint="eastAsia" w:hAnsi="仿宋_GB2312" w:eastAsia="仿宋_GB2312" w:cs="仿宋_GB2312"/>
          <w:i w:val="0"/>
          <w:iCs w:val="0"/>
          <w:caps w:val="0"/>
          <w:color w:val="000000" w:themeColor="text1"/>
          <w:spacing w:val="0"/>
          <w:kern w:val="2"/>
          <w:sz w:val="32"/>
          <w:szCs w:val="32"/>
          <w:shd w:val="clear"/>
          <w:lang w:val="en-US" w:eastAsia="zh-CN" w:bidi="ar-SA"/>
          <w14:textFill>
            <w14:solidFill>
              <w14:schemeClr w14:val="tx1"/>
            </w14:solidFill>
          </w14:textFill>
        </w:rPr>
        <w:t>区（管委会）</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生态环境局应至少分别开展现场帮扶1次，核对项目性质、规模、地点、生产工艺和</w:t>
      </w:r>
      <w:r>
        <w:rPr>
          <w:rFonts w:hint="eastAsia" w:hAnsi="仿宋_GB2312" w:eastAsia="仿宋_GB2312" w:cs="仿宋_GB2312"/>
          <w:color w:val="000000" w:themeColor="text1"/>
          <w:kern w:val="0"/>
          <w:sz w:val="30"/>
          <w:szCs w:val="30"/>
          <w:lang w:val="en-US" w:eastAsia="zh-CN"/>
          <w14:textFill>
            <w14:solidFill>
              <w14:schemeClr w14:val="tx1"/>
            </w14:solidFill>
          </w14:textFill>
        </w:rPr>
        <w:t>污染防治措施</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等是否</w:t>
      </w:r>
      <w:r>
        <w:rPr>
          <w:rFonts w:hint="eastAsia" w:hAnsi="仿宋_GB2312" w:eastAsia="仿宋_GB2312" w:cs="仿宋_GB2312"/>
          <w:color w:val="000000" w:themeColor="text1"/>
          <w:kern w:val="0"/>
          <w:sz w:val="30"/>
          <w:szCs w:val="30"/>
          <w:lang w:val="en-US" w:eastAsia="zh-CN"/>
          <w14:textFill>
            <w14:solidFill>
              <w14:schemeClr w14:val="tx1"/>
            </w14:solidFill>
          </w14:textFill>
        </w:rPr>
        <w:t>符合《环境准入指引》要求</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w:t>
      </w:r>
    </w:p>
    <w:p>
      <w:pPr>
        <w:widowControl/>
        <w:shd w:val="clear" w:color="auto" w:fill="FFFFFF"/>
        <w:spacing w:line="580" w:lineRule="exact"/>
        <w:ind w:firstLine="600" w:firstLineChars="200"/>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发生变动但未突破《莆田市优化环境影响评价分类管理试点实施方案》实施条件的，指导建设单位重新</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申领</w:t>
      </w: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/变更</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排污许可证或进行排污登记</w:t>
      </w:r>
      <w:r>
        <w:rPr>
          <w:rFonts w:hint="eastAsia" w:hAnsi="仿宋_GB2312" w:eastAsia="仿宋_GB2312" w:cs="仿宋_GB2312"/>
          <w:color w:val="000000" w:themeColor="text1"/>
          <w:kern w:val="0"/>
          <w:sz w:val="30"/>
          <w:szCs w:val="30"/>
          <w:lang w:val="en-US" w:eastAsia="zh-CN" w:bidi="ar"/>
          <w14:textFill>
            <w14:solidFill>
              <w14:schemeClr w14:val="tx1"/>
            </w14:solidFill>
          </w14:textFill>
        </w:rPr>
        <w:t>信息变更</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w:t>
      </w:r>
    </w:p>
    <w:p>
      <w:pPr>
        <w:pStyle w:val="16"/>
        <w:spacing w:line="580" w:lineRule="exact"/>
        <w:ind w:left="0" w:leftChars="0" w:firstLine="600" w:firstLineChars="200"/>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发生变动且突破《莆田市优化环境影响评价分类管理试点实施方案》实施条件的，责令建设单位依照《建设项目环境影响评价分类管理名录》（</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2021年版</w:t>
      </w:r>
      <w:r>
        <w:rPr>
          <w:rFonts w:hint="eastAsia" w:ascii="仿宋_GB2312" w:hAnsi="仿宋_GB2312" w:eastAsia="仿宋_GB2312" w:cs="仿宋_GB2312"/>
          <w:color w:val="000000" w:themeColor="text1"/>
          <w:kern w:val="0"/>
          <w:sz w:val="30"/>
          <w:szCs w:val="30"/>
          <w:lang w:eastAsia="zh-CN" w:bidi="ar"/>
          <w14:textFill>
            <w14:solidFill>
              <w14:schemeClr w14:val="tx1"/>
            </w14:solidFill>
          </w14:textFill>
        </w:rPr>
        <w:t>）相关规定办理环评手续，并对违法行为依法依规进行处理</w:t>
      </w:r>
      <w:r>
        <w:rPr>
          <w:rFonts w:hint="eastAsia" w:ascii="仿宋_GB2312" w:hAnsi="仿宋_GB2312" w:eastAsia="仿宋_GB2312" w:cs="仿宋_GB2312"/>
          <w:color w:val="000000" w:themeColor="text1"/>
          <w:kern w:val="0"/>
          <w:sz w:val="30"/>
          <w:szCs w:val="30"/>
          <w:lang w:val="en-US" w:eastAsia="zh-CN" w:bidi="ar"/>
          <w14:textFill>
            <w14:solidFill>
              <w14:schemeClr w14:val="tx1"/>
            </w14:solidFill>
          </w14:textFill>
        </w:rPr>
        <w:t>。</w:t>
      </w:r>
    </w:p>
    <w:p>
      <w:pPr>
        <w:widowControl/>
        <w:shd w:val="clear" w:color="auto" w:fill="FFFFFF"/>
        <w:spacing w:line="580" w:lineRule="exact"/>
        <w:ind w:firstLine="645"/>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（五）强化信息公开。建设单位</w:t>
      </w:r>
      <w:r>
        <w:rPr>
          <w:rFonts w:hint="eastAsia" w:ascii="仿宋_GB2312" w:hAnsi="仿宋_GB2312" w:eastAsia="仿宋_GB2312" w:cs="仿宋_GB2312"/>
          <w:color w:val="000000" w:themeColor="text1"/>
          <w:kern w:val="0"/>
          <w:sz w:val="30"/>
          <w:szCs w:val="30"/>
          <w:lang w:val="en-US" w:eastAsia="zh-Hans"/>
          <w14:textFill>
            <w14:solidFill>
              <w14:schemeClr w14:val="tx1"/>
            </w14:solidFill>
          </w14:textFill>
        </w:rPr>
        <w:t>应当按照环境信息公开有关规定，主动公开建设项目环境信息，接受社会监督。</w:t>
      </w:r>
    </w:p>
    <w:p>
      <w:pPr>
        <w:pStyle w:val="16"/>
        <w:spacing w:line="58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（六）加强事中事后监管。按照《莆田市生态环境局关于印发构建建设项目全链条环境监管机制的实施意见的通知》（莆环保[2020]160号）要求将试点项目纳入全链条监管，并</w:t>
      </w:r>
      <w:r>
        <w:rPr>
          <w:rFonts w:hint="eastAsia" w:hAnsi="仿宋_GB2312" w:eastAsia="仿宋_GB2312" w:cs="仿宋_GB2312"/>
          <w:color w:val="000000" w:themeColor="text1"/>
          <w:sz w:val="32"/>
          <w:szCs w:val="32"/>
          <w:lang w:val="en-US" w:eastAsia="zh-CN"/>
          <w14:textFill>
            <w14:solidFill>
              <w14:schemeClr w14:val="tx1"/>
            </w14:solidFill>
          </w14:textFill>
        </w:rPr>
        <w:t>对全市试点项目排污许</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可证和排污登记内容按100%比例抽查复核，加强排</w:t>
      </w:r>
      <w:r>
        <w:rPr>
          <w:rFonts w:hint="eastAsia" w:hAnsi="仿宋_GB2312" w:eastAsia="仿宋_GB2312" w:cs="仿宋_GB2312"/>
          <w:color w:val="000000" w:themeColor="text1"/>
          <w:sz w:val="32"/>
          <w:szCs w:val="32"/>
          <w:lang w:val="en-US" w:eastAsia="zh-CN"/>
          <w14:textFill>
            <w14:solidFill>
              <w14:schemeClr w14:val="tx1"/>
            </w14:solidFill>
          </w14:textFill>
        </w:rPr>
        <w:t>污许可质量监管。</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建设单位应按规定自觉接受各级生态环境主管部门的日常监督管理。</w:t>
      </w:r>
    </w:p>
    <w:p>
      <w:pP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pStyle w:val="16"/>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pStyle w:val="5"/>
        <w:rPr>
          <w:rFonts w:hint="eastAsia"/>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pStyle w:val="3"/>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adjustRightInd w:val="0"/>
        <w:snapToGrid w:val="0"/>
        <w:spacing w:line="560" w:lineRule="exact"/>
        <w:ind w:firstLine="0" w:firstLineChars="0"/>
        <w:rPr>
          <w:rFonts w:hint="eastAsia" w:eastAsia="方正小标宋简体"/>
          <w:color w:val="000000" w:themeColor="text1"/>
          <w:sz w:val="28"/>
          <w:szCs w:val="28"/>
          <w:lang w:val="en-US" w:eastAsia="zh-CN"/>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ascii="仿宋_GB2312" w:hAnsi="等线" w:eastAsia="黑体" w:cs="Times New Roman"/>
          <w:color w:val="000000" w:themeColor="text1"/>
          <w:kern w:val="0"/>
          <w:sz w:val="32"/>
          <w:szCs w:val="32"/>
          <w:lang w:val="en-US" w:eastAsia="zh-Hans"/>
          <w14:textFill>
            <w14:solidFill>
              <w14:schemeClr w14:val="tx1"/>
            </w14:solidFill>
          </w14:textFill>
        </w:rPr>
      </w:pPr>
    </w:p>
    <w:p>
      <w:pPr>
        <w:tabs>
          <w:tab w:val="left" w:pos="420"/>
        </w:tabs>
        <w:adjustRightInd/>
        <w:snapToGrid/>
        <w:spacing w:line="580" w:lineRule="exact"/>
        <w:ind w:firstLine="0" w:firstLineChars="0"/>
        <w:jc w:val="left"/>
        <w:outlineLvl w:val="0"/>
        <w:rPr>
          <w:rFonts w:hint="eastAsia" w:ascii="仿宋_GB2312" w:hAnsi="等线" w:eastAsia="黑体" w:cs="Times New Roman"/>
          <w:color w:val="000000" w:themeColor="text1"/>
          <w:kern w:val="0"/>
          <w:sz w:val="32"/>
          <w:szCs w:val="32"/>
          <w:lang w:val="en-US" w:eastAsia="zh-Hans"/>
          <w14:textFill>
            <w14:solidFill>
              <w14:schemeClr w14:val="tx1"/>
            </w14:solidFill>
          </w14:textFill>
        </w:rPr>
      </w:pPr>
      <w:r>
        <w:rPr>
          <w:rFonts w:hint="eastAsia" w:ascii="仿宋_GB2312" w:hAnsi="等线" w:eastAsia="黑体" w:cs="Times New Roman"/>
          <w:color w:val="000000" w:themeColor="text1"/>
          <w:kern w:val="0"/>
          <w:sz w:val="32"/>
          <w:szCs w:val="32"/>
          <w:lang w:val="en-US" w:eastAsia="zh-Hans"/>
          <w14:textFill>
            <w14:solidFill>
              <w14:schemeClr w14:val="tx1"/>
            </w14:solidFill>
          </w14:textFill>
        </w:rPr>
        <w:t>附件2</w:t>
      </w:r>
    </w:p>
    <w:p>
      <w:pPr>
        <w:adjustRightInd w:val="0"/>
        <w:snapToGrid w:val="0"/>
        <w:spacing w:line="560" w:lineRule="exact"/>
        <w:ind w:firstLine="0" w:firstLineChars="0"/>
        <w:jc w:val="center"/>
        <w:rPr>
          <w:rFonts w:hint="eastAsia" w:ascii="方正公文小标宋" w:hAnsi="方正公文小标宋" w:eastAsia="方正公文小标宋" w:cs="方正公文小标宋"/>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color w:val="000000" w:themeColor="text1"/>
          <w:sz w:val="36"/>
          <w:szCs w:val="36"/>
          <w:lang w:eastAsia="zh-Hans"/>
          <w14:textFill>
            <w14:solidFill>
              <w14:schemeClr w14:val="tx1"/>
            </w14:solidFill>
          </w14:textFill>
        </w:rPr>
        <w:t>办</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z w:val="36"/>
          <w:szCs w:val="36"/>
          <w:lang w:eastAsia="zh-Hans"/>
          <w14:textFill>
            <w14:solidFill>
              <w14:schemeClr w14:val="tx1"/>
            </w14:solidFill>
          </w14:textFill>
        </w:rPr>
        <w:t>理</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z w:val="36"/>
          <w:szCs w:val="36"/>
          <w:lang w:eastAsia="zh-Hans"/>
          <w14:textFill>
            <w14:solidFill>
              <w14:schemeClr w14:val="tx1"/>
            </w14:solidFill>
          </w14:textFill>
        </w:rPr>
        <w:t>流</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z w:val="36"/>
          <w:szCs w:val="36"/>
          <w:lang w:eastAsia="zh-Hans"/>
          <w14:textFill>
            <w14:solidFill>
              <w14:schemeClr w14:val="tx1"/>
            </w14:solidFill>
          </w14:textFill>
        </w:rPr>
        <w:t>程</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 xml:space="preserve"> </w:t>
      </w:r>
      <w:r>
        <w:rPr>
          <w:rFonts w:hint="eastAsia" w:ascii="方正公文小标宋" w:hAnsi="方正公文小标宋" w:eastAsia="方正公文小标宋" w:cs="方正公文小标宋"/>
          <w:color w:val="000000" w:themeColor="text1"/>
          <w:sz w:val="36"/>
          <w:szCs w:val="36"/>
          <w14:textFill>
            <w14:solidFill>
              <w14:schemeClr w14:val="tx1"/>
            </w14:solidFill>
          </w14:textFill>
        </w:rPr>
        <w:t>图</w:t>
      </w:r>
    </w:p>
    <w:p>
      <w:pPr>
        <w:jc w:val="both"/>
        <w:rPr>
          <w:rFonts w:hint="eastAsia" w:eastAsia="宋体"/>
          <w:color w:val="000000" w:themeColor="text1"/>
          <w:szCs w:val="21"/>
          <w:lang w:eastAsia="zh-CN"/>
          <w14:textFill>
            <w14:solidFill>
              <w14:schemeClr w14:val="tx1"/>
            </w14:solidFill>
          </w14:textFill>
        </w:rPr>
      </w:pPr>
      <w:r>
        <w:rPr>
          <w:color w:val="000000" w:themeColor="text1"/>
          <w:sz w:val="30"/>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-782320</wp:posOffset>
                </wp:positionH>
                <wp:positionV relativeFrom="paragraph">
                  <wp:posOffset>125095</wp:posOffset>
                </wp:positionV>
                <wp:extent cx="7120890" cy="7651750"/>
                <wp:effectExtent l="12700" t="12700" r="29210" b="12700"/>
                <wp:wrapNone/>
                <wp:docPr id="83" name="组合 83"/>
                <wp:cNvGraphicFramePr/>
                <a:graphic xmlns:a="http://schemas.openxmlformats.org/drawingml/2006/main">
                  <a:graphicData uri="http://schemas.microsoft.com/office/word/2010/wordprocessingGroup">
                    <wpg:wgp>
                      <wpg:cNvGrpSpPr/>
                      <wpg:grpSpPr>
                        <a:xfrm>
                          <a:off x="0" y="0"/>
                          <a:ext cx="7120890" cy="7651750"/>
                          <a:chOff x="4907" y="54509"/>
                          <a:chExt cx="11214" cy="12050"/>
                        </a:xfrm>
                      </wpg:grpSpPr>
                      <wps:wsp>
                        <wps:cNvPr id="56" name="圆角矩形 56"/>
                        <wps:cNvSpPr/>
                        <wps:spPr>
                          <a:xfrm>
                            <a:off x="8842" y="54509"/>
                            <a:ext cx="3474" cy="1045"/>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color w:val="auto"/>
                                  <w:sz w:val="24"/>
                                  <w:szCs w:val="24"/>
                                  <w:lang w:eastAsia="zh-CN"/>
                                </w:rPr>
                              </w:pPr>
                              <w:r>
                                <w:rPr>
                                  <w:rFonts w:hint="eastAsia" w:ascii="仿宋_GB2312" w:hAnsi="仿宋_GB2312" w:eastAsia="仿宋_GB2312" w:cs="仿宋_GB2312"/>
                                  <w:color w:val="auto"/>
                                  <w:kern w:val="0"/>
                                  <w:sz w:val="24"/>
                                  <w:szCs w:val="24"/>
                                  <w:lang w:val="en-US" w:eastAsia="zh-CN"/>
                                </w:rPr>
                                <w:t>建设单位向属地县区（管委会）生态环境局</w:t>
                              </w:r>
                              <w:r>
                                <w:rPr>
                                  <w:rFonts w:hint="eastAsia" w:hAnsi="仿宋_GB2312" w:eastAsia="仿宋_GB2312" w:cs="仿宋_GB2312"/>
                                  <w:color w:val="auto"/>
                                  <w:kern w:val="0"/>
                                  <w:sz w:val="24"/>
                                  <w:szCs w:val="24"/>
                                  <w:lang w:val="en-US" w:eastAsia="zh-CN"/>
                                </w:rPr>
                                <w:t>提交申请试点的函</w:t>
                              </w:r>
                            </w:p>
                          </w:txbxContent>
                        </wps:txbx>
                        <wps:bodyPr lIns="35999" tIns="45719" rIns="35999" bIns="45719" upright="true"/>
                      </wps:wsp>
                      <wps:wsp>
                        <wps:cNvPr id="57" name="直接箭头连接符 57"/>
                        <wps:cNvCnPr>
                          <a:stCxn id="56" idx="2"/>
                        </wps:cNvCnPr>
                        <wps:spPr>
                          <a:xfrm>
                            <a:off x="10579" y="55554"/>
                            <a:ext cx="0" cy="426"/>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58" name="圆角矩形 58"/>
                        <wps:cNvSpPr/>
                        <wps:spPr>
                          <a:xfrm>
                            <a:off x="7487" y="55999"/>
                            <a:ext cx="6340" cy="650"/>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eastAsia="zh-CN"/>
                                </w:rPr>
                              </w:pPr>
                              <w:r>
                                <w:rPr>
                                  <w:rFonts w:hint="eastAsia" w:ascii="仿宋_GB2312" w:hAnsi="仿宋_GB2312" w:eastAsia="仿宋_GB2312" w:cs="仿宋_GB2312"/>
                                  <w:kern w:val="0"/>
                                  <w:sz w:val="24"/>
                                  <w:szCs w:val="24"/>
                                  <w:lang w:val="en-US" w:eastAsia="zh-CN"/>
                                </w:rPr>
                                <w:t>属地县区（管委会）生态环境局开展试点项目符合性分析</w:t>
                              </w:r>
                            </w:p>
                          </w:txbxContent>
                        </wps:txbx>
                        <wps:bodyPr lIns="35999" tIns="45719" rIns="35999" bIns="45719" upright="true"/>
                      </wps:wsp>
                      <wps:wsp>
                        <wps:cNvPr id="59" name="直接箭头连接符 59"/>
                        <wps:cNvCnPr/>
                        <wps:spPr>
                          <a:xfrm flipH="true">
                            <a:off x="10629" y="56694"/>
                            <a:ext cx="8" cy="634"/>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60" name="直接连接符 60"/>
                        <wps:cNvCnPr/>
                        <wps:spPr>
                          <a:xfrm flipV="true">
                            <a:off x="6703" y="57077"/>
                            <a:ext cx="7369" cy="28"/>
                          </a:xfrm>
                          <a:prstGeom prst="line">
                            <a:avLst/>
                          </a:prstGeom>
                          <a:ln w="19050" cap="flat" cmpd="sng">
                            <a:solidFill>
                              <a:srgbClr val="000000"/>
                            </a:solidFill>
                            <a:prstDash val="solid"/>
                            <a:round/>
                            <a:headEnd type="none" w="med" len="med"/>
                            <a:tailEnd type="none" w="med" len="med"/>
                          </a:ln>
                          <a:effectLst>
                            <a:outerShdw dist="20000" dir="5400000" rotWithShape="0">
                              <a:srgbClr val="000000">
                                <a:alpha val="37999"/>
                              </a:srgbClr>
                            </a:outerShdw>
                          </a:effectLst>
                        </wps:spPr>
                        <wps:bodyPr upright="true"/>
                      </wps:wsp>
                      <wps:wsp>
                        <wps:cNvPr id="62" name="圆角矩形 62"/>
                        <wps:cNvSpPr/>
                        <wps:spPr>
                          <a:xfrm>
                            <a:off x="8493" y="57375"/>
                            <a:ext cx="4083" cy="1602"/>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eastAsia="仿宋_GB2312"/>
                                  <w:color w:val="auto"/>
                                  <w:sz w:val="24"/>
                                  <w:szCs w:val="24"/>
                                  <w:lang w:eastAsia="zh-CN"/>
                                </w:rPr>
                              </w:pPr>
                              <w:r>
                                <w:rPr>
                                  <w:rFonts w:hint="eastAsia" w:ascii="仿宋_GB2312" w:hAnsi="仿宋_GB2312" w:eastAsia="仿宋_GB2312" w:cs="仿宋_GB2312"/>
                                  <w:color w:val="auto"/>
                                  <w:kern w:val="0"/>
                                  <w:sz w:val="24"/>
                                  <w:szCs w:val="24"/>
                                  <w:lang w:bidi="ar"/>
                                </w:rPr>
                                <w:t>属于</w:t>
                              </w:r>
                              <w:r>
                                <w:rPr>
                                  <w:rFonts w:hint="eastAsia" w:ascii="仿宋_GB2312" w:hAnsi="仿宋_GB2312" w:eastAsia="仿宋_GB2312" w:cs="仿宋_GB2312"/>
                                  <w:color w:val="auto"/>
                                  <w:kern w:val="0"/>
                                  <w:sz w:val="24"/>
                                  <w:szCs w:val="24"/>
                                  <w:lang w:eastAsia="zh-CN" w:bidi="ar"/>
                                </w:rPr>
                                <w:t>试点项目行业</w:t>
                              </w:r>
                              <w:r>
                                <w:rPr>
                                  <w:rFonts w:hint="eastAsia" w:ascii="仿宋_GB2312" w:hAnsi="仿宋_GB2312" w:eastAsia="仿宋_GB2312" w:cs="仿宋_GB2312"/>
                                  <w:color w:val="auto"/>
                                  <w:kern w:val="0"/>
                                  <w:sz w:val="24"/>
                                  <w:szCs w:val="24"/>
                                  <w:lang w:bidi="ar"/>
                                </w:rPr>
                                <w:t>范围</w:t>
                              </w:r>
                              <w:r>
                                <w:rPr>
                                  <w:rFonts w:hint="eastAsia" w:ascii="仿宋_GB2312" w:hAnsi="仿宋_GB2312" w:eastAsia="仿宋_GB2312" w:cs="仿宋_GB2312"/>
                                  <w:color w:val="auto"/>
                                  <w:kern w:val="0"/>
                                  <w:sz w:val="24"/>
                                  <w:szCs w:val="24"/>
                                  <w:lang w:eastAsia="zh-CN" w:bidi="ar"/>
                                </w:rPr>
                                <w:t>且符合生态环境分区管控要求的，</w:t>
                              </w:r>
                              <w:r>
                                <w:rPr>
                                  <w:rFonts w:hint="eastAsia" w:hAnsi="仿宋_GB2312" w:eastAsia="仿宋_GB2312" w:cs="仿宋_GB2312"/>
                                  <w:color w:val="auto"/>
                                  <w:kern w:val="0"/>
                                  <w:sz w:val="24"/>
                                  <w:szCs w:val="24"/>
                                  <w:lang w:eastAsia="zh-CN" w:bidi="ar"/>
                                </w:rPr>
                                <w:t>报市生态环境局审核后函复，</w:t>
                              </w:r>
                              <w:r>
                                <w:rPr>
                                  <w:rFonts w:hint="eastAsia" w:ascii="仿宋_GB2312" w:hAnsi="仿宋_GB2312" w:eastAsia="仿宋_GB2312" w:cs="仿宋_GB2312"/>
                                  <w:color w:val="auto"/>
                                  <w:kern w:val="0"/>
                                  <w:sz w:val="24"/>
                                  <w:szCs w:val="24"/>
                                  <w:lang w:val="en-US" w:eastAsia="zh-CN" w:bidi="ar"/>
                                </w:rPr>
                                <w:t>同时</w:t>
                              </w:r>
                              <w:r>
                                <w:rPr>
                                  <w:rFonts w:hint="eastAsia" w:hAnsi="仿宋_GB2312" w:eastAsia="仿宋_GB2312" w:cs="仿宋_GB2312"/>
                                  <w:color w:val="auto"/>
                                  <w:kern w:val="0"/>
                                  <w:sz w:val="24"/>
                                  <w:szCs w:val="24"/>
                                  <w:lang w:val="en-US" w:eastAsia="zh-CN" w:bidi="ar"/>
                                </w:rPr>
                                <w:t>抄送属地</w:t>
                              </w:r>
                              <w:r>
                                <w:rPr>
                                  <w:rFonts w:hint="eastAsia" w:ascii="仿宋_GB2312" w:hAnsi="仿宋_GB2312" w:eastAsia="仿宋_GB2312" w:cs="仿宋_GB2312"/>
                                  <w:color w:val="auto"/>
                                  <w:kern w:val="0"/>
                                  <w:sz w:val="24"/>
                                  <w:szCs w:val="24"/>
                                  <w:lang w:val="en-US" w:eastAsia="zh-CN"/>
                                </w:rPr>
                                <w:t>园区管委</w:t>
                              </w:r>
                              <w:r>
                                <w:rPr>
                                  <w:rFonts w:hint="eastAsia" w:hAnsi="仿宋_GB2312" w:eastAsia="仿宋_GB2312" w:cs="仿宋_GB2312"/>
                                  <w:color w:val="auto"/>
                                  <w:kern w:val="0"/>
                                  <w:sz w:val="24"/>
                                  <w:szCs w:val="24"/>
                                  <w:lang w:val="en-US" w:eastAsia="zh-CN"/>
                                </w:rPr>
                                <w:t>会或属地乡镇人民政府</w:t>
                              </w:r>
                            </w:p>
                          </w:txbxContent>
                        </wps:txbx>
                        <wps:bodyPr lIns="35999" tIns="45719" rIns="35999" bIns="45719" upright="true"/>
                      </wps:wsp>
                      <wps:wsp>
                        <wps:cNvPr id="63" name="圆角矩形 63"/>
                        <wps:cNvSpPr/>
                        <wps:spPr>
                          <a:xfrm>
                            <a:off x="12717" y="57583"/>
                            <a:ext cx="3404" cy="1549"/>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pStyle w:val="16"/>
                                <w:ind w:left="0" w:leftChars="0" w:firstLine="0" w:firstLineChars="0"/>
                                <w:jc w:val="center"/>
                                <w:rPr>
                                  <w:sz w:val="24"/>
                                  <w:szCs w:val="24"/>
                                </w:rPr>
                              </w:pPr>
                              <w:r>
                                <w:rPr>
                                  <w:rFonts w:hint="eastAsia" w:ascii="仿宋_GB2312" w:hAnsi="仿宋_GB2312" w:eastAsia="仿宋_GB2312" w:cs="仿宋_GB2312"/>
                                  <w:color w:val="000000"/>
                                  <w:kern w:val="0"/>
                                  <w:sz w:val="24"/>
                                  <w:szCs w:val="24"/>
                                  <w:lang w:eastAsia="zh-CN" w:bidi="ar"/>
                                </w:rPr>
                                <w:t>不</w:t>
                              </w:r>
                              <w:r>
                                <w:rPr>
                                  <w:rFonts w:hint="eastAsia" w:ascii="仿宋_GB2312" w:hAnsi="仿宋_GB2312" w:eastAsia="仿宋_GB2312" w:cs="仿宋_GB2312"/>
                                  <w:color w:val="000000"/>
                                  <w:kern w:val="0"/>
                                  <w:sz w:val="24"/>
                                  <w:szCs w:val="24"/>
                                  <w:lang w:bidi="ar"/>
                                </w:rPr>
                                <w:t>属于</w:t>
                              </w:r>
                              <w:r>
                                <w:rPr>
                                  <w:rFonts w:hint="eastAsia" w:ascii="仿宋_GB2312" w:hAnsi="仿宋_GB2312" w:eastAsia="仿宋_GB2312" w:cs="仿宋_GB2312"/>
                                  <w:color w:val="000000"/>
                                  <w:kern w:val="0"/>
                                  <w:sz w:val="24"/>
                                  <w:szCs w:val="24"/>
                                  <w:lang w:eastAsia="zh-CN" w:bidi="ar"/>
                                </w:rPr>
                                <w:t>试点项目行业</w:t>
                              </w:r>
                              <w:r>
                                <w:rPr>
                                  <w:rFonts w:hint="eastAsia" w:ascii="仿宋_GB2312" w:hAnsi="仿宋_GB2312" w:eastAsia="仿宋_GB2312" w:cs="仿宋_GB2312"/>
                                  <w:color w:val="000000"/>
                                  <w:kern w:val="0"/>
                                  <w:sz w:val="24"/>
                                  <w:szCs w:val="24"/>
                                  <w:lang w:bidi="ar"/>
                                </w:rPr>
                                <w:t>范围</w:t>
                              </w:r>
                              <w:r>
                                <w:rPr>
                                  <w:rFonts w:hint="eastAsia" w:ascii="仿宋_GB2312" w:hAnsi="仿宋_GB2312" w:eastAsia="仿宋_GB2312" w:cs="仿宋_GB2312"/>
                                  <w:color w:val="000000"/>
                                  <w:kern w:val="0"/>
                                  <w:sz w:val="24"/>
                                  <w:szCs w:val="24"/>
                                  <w:lang w:eastAsia="zh-CN" w:bidi="ar"/>
                                </w:rPr>
                                <w:t>的，</w:t>
                              </w:r>
                              <w:r>
                                <w:rPr>
                                  <w:rFonts w:hint="eastAsia" w:ascii="仿宋_GB2312" w:hAnsi="仿宋_GB2312" w:eastAsia="仿宋_GB2312" w:cs="仿宋_GB2312"/>
                                  <w:color w:val="000000"/>
                                  <w:kern w:val="0"/>
                                  <w:sz w:val="24"/>
                                  <w:szCs w:val="24"/>
                                  <w:lang w:bidi="ar"/>
                                </w:rPr>
                                <w:t>告知</w:t>
                              </w:r>
                              <w:r>
                                <w:rPr>
                                  <w:rFonts w:hint="eastAsia" w:ascii="仿宋_GB2312" w:hAnsi="仿宋_GB2312" w:eastAsia="仿宋_GB2312" w:cs="仿宋_GB2312"/>
                                  <w:color w:val="000000"/>
                                  <w:kern w:val="0"/>
                                  <w:sz w:val="24"/>
                                  <w:szCs w:val="24"/>
                                  <w:lang w:eastAsia="zh-CN" w:bidi="ar"/>
                                </w:rPr>
                                <w:t>依照《建设项目环境影响评价分类管理名录》（</w:t>
                              </w:r>
                              <w:r>
                                <w:rPr>
                                  <w:rFonts w:hint="eastAsia" w:ascii="仿宋_GB2312" w:hAnsi="仿宋_GB2312" w:eastAsia="仿宋_GB2312" w:cs="仿宋_GB2312"/>
                                  <w:color w:val="000000"/>
                                  <w:kern w:val="0"/>
                                  <w:sz w:val="24"/>
                                  <w:szCs w:val="24"/>
                                  <w:lang w:val="en-US" w:eastAsia="zh-CN" w:bidi="ar"/>
                                </w:rPr>
                                <w:t>2021年版</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相关规定</w:t>
                              </w:r>
                              <w:r>
                                <w:rPr>
                                  <w:rFonts w:hint="eastAsia" w:ascii="仿宋_GB2312" w:hAnsi="仿宋_GB2312" w:eastAsia="仿宋_GB2312" w:cs="仿宋_GB2312"/>
                                  <w:color w:val="000000"/>
                                  <w:kern w:val="0"/>
                                  <w:sz w:val="24"/>
                                  <w:szCs w:val="24"/>
                                  <w:lang w:eastAsia="zh-CN" w:bidi="ar"/>
                                </w:rPr>
                                <w:t>办理环评手续</w:t>
                              </w:r>
                            </w:p>
                            <w:p>
                              <w:pPr>
                                <w:jc w:val="center"/>
                                <w:rPr>
                                  <w:rFonts w:hint="eastAsia" w:eastAsia="仿宋_GB2312"/>
                                  <w:sz w:val="24"/>
                                  <w:szCs w:val="24"/>
                                  <w:lang w:eastAsia="zh-CN"/>
                                </w:rPr>
                              </w:pPr>
                            </w:p>
                          </w:txbxContent>
                        </wps:txbx>
                        <wps:bodyPr lIns="35999" tIns="45719" rIns="35999" bIns="45719" upright="true"/>
                      </wps:wsp>
                      <wps:wsp>
                        <wps:cNvPr id="64" name="直接箭头连接符 64"/>
                        <wps:cNvCnPr/>
                        <wps:spPr>
                          <a:xfrm>
                            <a:off x="14078" y="57090"/>
                            <a:ext cx="6" cy="403"/>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65" name="直接箭头连接符 65"/>
                        <wps:cNvCnPr/>
                        <wps:spPr>
                          <a:xfrm>
                            <a:off x="10521" y="58978"/>
                            <a:ext cx="11" cy="347"/>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66" name="圆角矩形 66"/>
                        <wps:cNvSpPr/>
                        <wps:spPr>
                          <a:xfrm>
                            <a:off x="8280" y="59313"/>
                            <a:ext cx="4451" cy="1544"/>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eastAsia="仿宋_GB2312"/>
                                  <w:sz w:val="24"/>
                                  <w:szCs w:val="24"/>
                                  <w:lang w:eastAsia="zh-CN"/>
                                </w:rPr>
                              </w:pPr>
                              <w:r>
                                <w:rPr>
                                  <w:rFonts w:hint="eastAsia" w:hAnsi="仿宋_GB2312" w:eastAsia="仿宋_GB2312" w:cs="仿宋_GB2312"/>
                                  <w:color w:val="000000"/>
                                  <w:kern w:val="0"/>
                                  <w:sz w:val="24"/>
                                  <w:szCs w:val="24"/>
                                  <w:lang w:val="en-US" w:eastAsia="zh-CN" w:bidi="ar"/>
                                </w:rPr>
                                <w:t>建设单位向属地县区（管委会）生态环境局</w:t>
                              </w:r>
                              <w:r>
                                <w:rPr>
                                  <w:rFonts w:hint="eastAsia" w:ascii="仿宋_GB2312" w:hAnsi="仿宋_GB2312" w:eastAsia="仿宋_GB2312" w:cs="仿宋_GB2312"/>
                                  <w:color w:val="000000"/>
                                  <w:kern w:val="0"/>
                                  <w:sz w:val="24"/>
                                  <w:szCs w:val="24"/>
                                  <w:lang w:val="en-US" w:eastAsia="zh-CN" w:bidi="ar"/>
                                </w:rPr>
                                <w:t>申领排污许可</w:t>
                              </w:r>
                              <w:r>
                                <w:rPr>
                                  <w:rFonts w:hint="eastAsia" w:hAnsi="仿宋_GB2312" w:eastAsia="仿宋_GB2312" w:cs="仿宋_GB2312"/>
                                  <w:color w:val="000000"/>
                                  <w:kern w:val="0"/>
                                  <w:sz w:val="24"/>
                                  <w:szCs w:val="24"/>
                                  <w:lang w:val="en-US" w:eastAsia="zh-CN" w:bidi="ar"/>
                                </w:rPr>
                                <w:t>证</w:t>
                              </w:r>
                              <w:r>
                                <w:rPr>
                                  <w:rFonts w:hint="eastAsia" w:ascii="仿宋_GB2312" w:hAnsi="仿宋_GB2312" w:eastAsia="仿宋_GB2312" w:cs="仿宋_GB2312"/>
                                  <w:color w:val="000000"/>
                                  <w:kern w:val="0"/>
                                  <w:sz w:val="24"/>
                                  <w:szCs w:val="24"/>
                                  <w:lang w:val="en-US" w:eastAsia="zh-CN" w:bidi="ar"/>
                                </w:rPr>
                                <w:t>或进行排污登记</w:t>
                              </w:r>
                              <w:r>
                                <w:rPr>
                                  <w:rFonts w:hint="eastAsia" w:hAnsi="仿宋_GB2312" w:eastAsia="仿宋_GB2312" w:cs="仿宋_GB2312"/>
                                  <w:color w:val="000000"/>
                                  <w:kern w:val="0"/>
                                  <w:sz w:val="24"/>
                                  <w:szCs w:val="24"/>
                                  <w:lang w:val="en-US" w:eastAsia="zh-CN" w:bidi="ar"/>
                                </w:rPr>
                                <w:t>（</w:t>
                              </w:r>
                              <w:r>
                                <w:rPr>
                                  <w:rFonts w:hint="eastAsia" w:ascii="仿宋_GB2312" w:hAnsi="仿宋_GB2312" w:eastAsia="仿宋_GB2312" w:cs="仿宋_GB2312"/>
                                  <w:kern w:val="0"/>
                                  <w:sz w:val="24"/>
                                  <w:szCs w:val="24"/>
                                  <w:lang w:val="en-US" w:eastAsia="zh-CN"/>
                                </w:rPr>
                                <w:t>需购买排污权交易指标的，于排污许可证申领</w:t>
                              </w:r>
                              <w:r>
                                <w:rPr>
                                  <w:rFonts w:hint="eastAsia" w:hAnsi="仿宋_GB2312" w:eastAsia="仿宋_GB2312" w:cs="仿宋_GB2312"/>
                                  <w:kern w:val="0"/>
                                  <w:sz w:val="24"/>
                                  <w:szCs w:val="24"/>
                                  <w:lang w:val="en-US" w:eastAsia="zh-CN"/>
                                </w:rPr>
                                <w:t>/排污登记</w:t>
                              </w:r>
                              <w:r>
                                <w:rPr>
                                  <w:rFonts w:hint="eastAsia" w:ascii="仿宋_GB2312" w:hAnsi="仿宋_GB2312" w:eastAsia="仿宋_GB2312" w:cs="仿宋_GB2312"/>
                                  <w:kern w:val="0"/>
                                  <w:sz w:val="24"/>
                                  <w:szCs w:val="24"/>
                                  <w:lang w:val="en-US" w:eastAsia="zh-CN"/>
                                </w:rPr>
                                <w:t>前提交排污权交易</w:t>
                              </w:r>
                              <w:r>
                                <w:rPr>
                                  <w:rFonts w:hint="default" w:hAnsi="仿宋_GB2312" w:eastAsia="仿宋_GB2312" w:cs="仿宋_GB2312"/>
                                  <w:kern w:val="0"/>
                                  <w:sz w:val="24"/>
                                  <w:szCs w:val="24"/>
                                  <w:lang w:val="en" w:eastAsia="zh-CN"/>
                                </w:rPr>
                                <w:t>)</w:t>
                              </w:r>
                              <w:r>
                                <w:rPr>
                                  <w:rFonts w:hint="eastAsia" w:ascii="仿宋_GB2312" w:hAnsi="仿宋_GB2312" w:eastAsia="仿宋_GB2312" w:cs="仿宋_GB2312"/>
                                  <w:kern w:val="0"/>
                                  <w:sz w:val="24"/>
                                  <w:szCs w:val="24"/>
                                  <w:lang w:val="en-US" w:eastAsia="zh-CN"/>
                                </w:rPr>
                                <w:t>凭证</w:t>
                              </w:r>
                              <w:r>
                                <w:rPr>
                                  <w:rFonts w:hint="eastAsia" w:hAnsi="仿宋_GB2312" w:eastAsia="仿宋_GB2312" w:cs="仿宋_GB2312"/>
                                  <w:kern w:val="0"/>
                                  <w:sz w:val="24"/>
                                  <w:szCs w:val="24"/>
                                  <w:lang w:val="en-US" w:eastAsia="zh-CN"/>
                                </w:rPr>
                                <w:t>）</w:t>
                              </w:r>
                            </w:p>
                            <w:p>
                              <w:pPr>
                                <w:rPr>
                                  <w:rFonts w:hint="eastAsia"/>
                                  <w:lang w:eastAsia="zh-CN"/>
                                </w:rPr>
                              </w:pPr>
                            </w:p>
                          </w:txbxContent>
                        </wps:txbx>
                        <wps:bodyPr lIns="35999" tIns="45719" rIns="35999" bIns="45719" upright="true"/>
                      </wps:wsp>
                      <wps:wsp>
                        <wps:cNvPr id="67" name="圆角矩形 67"/>
                        <wps:cNvSpPr/>
                        <wps:spPr>
                          <a:xfrm>
                            <a:off x="9207" y="65307"/>
                            <a:ext cx="4473" cy="1252"/>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pStyle w:val="16"/>
                                <w:ind w:left="0" w:leftChars="0" w:firstLine="0" w:firstLineChars="0"/>
                                <w:jc w:val="center"/>
                                <w:rPr>
                                  <w:sz w:val="24"/>
                                  <w:szCs w:val="24"/>
                                </w:rPr>
                              </w:pPr>
                              <w:r>
                                <w:rPr>
                                  <w:rFonts w:hint="eastAsia" w:ascii="仿宋_GB2312" w:hAnsi="仿宋_GB2312" w:eastAsia="仿宋_GB2312" w:cs="仿宋_GB2312"/>
                                  <w:color w:val="000000"/>
                                  <w:kern w:val="0"/>
                                  <w:sz w:val="24"/>
                                  <w:szCs w:val="24"/>
                                  <w:lang w:eastAsia="zh-CN" w:bidi="ar"/>
                                </w:rPr>
                                <w:t>建设内容发生变动且突破《方案》实施条件的，告知依照相关规定办理环评手续，并对违法行为依法依规进行处罚</w:t>
                              </w:r>
                            </w:p>
                            <w:p>
                              <w:pPr>
                                <w:rPr>
                                  <w:rFonts w:hint="eastAsia"/>
                                  <w:lang w:eastAsia="zh-CN"/>
                                </w:rPr>
                              </w:pPr>
                            </w:p>
                          </w:txbxContent>
                        </wps:txbx>
                        <wps:bodyPr lIns="35999" tIns="45719" rIns="35999" bIns="45719" upright="true"/>
                      </wps:wsp>
                      <wps:wsp>
                        <wps:cNvPr id="68" name="直接箭头连接符 68"/>
                        <wps:cNvCnPr/>
                        <wps:spPr>
                          <a:xfrm flipH="true">
                            <a:off x="10464" y="60841"/>
                            <a:ext cx="6" cy="343"/>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69" name="直接连接符 69"/>
                        <wps:cNvCnPr/>
                        <wps:spPr>
                          <a:xfrm>
                            <a:off x="8117" y="61211"/>
                            <a:ext cx="4447" cy="15"/>
                          </a:xfrm>
                          <a:prstGeom prst="line">
                            <a:avLst/>
                          </a:prstGeom>
                          <a:ln w="19050" cap="flat" cmpd="sng">
                            <a:solidFill>
                              <a:srgbClr val="000000"/>
                            </a:solidFill>
                            <a:prstDash val="solid"/>
                            <a:round/>
                            <a:headEnd type="none" w="med" len="med"/>
                            <a:tailEnd type="none" w="med" len="med"/>
                          </a:ln>
                          <a:effectLst>
                            <a:outerShdw dist="20000" dir="5400000" rotWithShape="0">
                              <a:srgbClr val="000000">
                                <a:alpha val="37999"/>
                              </a:srgbClr>
                            </a:outerShdw>
                          </a:effectLst>
                        </wps:spPr>
                        <wps:bodyPr upright="true"/>
                      </wps:wsp>
                      <wps:wsp>
                        <wps:cNvPr id="70" name="直接箭头连接符 70"/>
                        <wps:cNvCnPr/>
                        <wps:spPr>
                          <a:xfrm flipH="true">
                            <a:off x="8139" y="61218"/>
                            <a:ext cx="7" cy="430"/>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1" name="直接箭头连接符 71"/>
                        <wps:cNvCnPr/>
                        <wps:spPr>
                          <a:xfrm>
                            <a:off x="12577" y="61215"/>
                            <a:ext cx="15" cy="471"/>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2" name="圆角矩形 72"/>
                        <wps:cNvSpPr/>
                        <wps:spPr>
                          <a:xfrm>
                            <a:off x="4907" y="65328"/>
                            <a:ext cx="3978" cy="1219"/>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eastAsia="仿宋_GB2312"/>
                                  <w:lang w:eastAsia="zh-CN"/>
                                </w:rPr>
                              </w:pPr>
                              <w:r>
                                <w:rPr>
                                  <w:rFonts w:hint="eastAsia" w:ascii="仿宋_GB2312" w:hAnsi="仿宋_GB2312" w:eastAsia="仿宋_GB2312" w:cs="仿宋_GB2312"/>
                                  <w:color w:val="000000"/>
                                  <w:kern w:val="0"/>
                                  <w:sz w:val="24"/>
                                  <w:szCs w:val="24"/>
                                  <w:lang w:eastAsia="zh-CN" w:bidi="ar"/>
                                </w:rPr>
                                <w:t>建设内容发生变动</w:t>
                              </w:r>
                              <w:r>
                                <w:rPr>
                                  <w:rFonts w:hint="eastAsia" w:ascii="仿宋_GB2312" w:hAnsi="仿宋_GB2312" w:eastAsia="仿宋_GB2312" w:cs="仿宋_GB2312"/>
                                  <w:kern w:val="0"/>
                                  <w:sz w:val="24"/>
                                  <w:szCs w:val="24"/>
                                  <w:lang w:val="en-US" w:eastAsia="zh-Hans"/>
                                </w:rPr>
                                <w:t>但</w:t>
                              </w:r>
                              <w:r>
                                <w:rPr>
                                  <w:rFonts w:hint="eastAsia" w:ascii="仿宋_GB2312" w:hAnsi="仿宋_GB2312" w:eastAsia="仿宋_GB2312" w:cs="仿宋_GB2312"/>
                                  <w:color w:val="000000"/>
                                  <w:kern w:val="0"/>
                                  <w:sz w:val="24"/>
                                  <w:szCs w:val="24"/>
                                  <w:lang w:eastAsia="zh-CN" w:bidi="ar"/>
                                </w:rPr>
                                <w:t>未突破《方案》实施条件，</w:t>
                              </w:r>
                              <w:r>
                                <w:rPr>
                                  <w:rFonts w:hint="eastAsia" w:hAnsi="仿宋_GB2312" w:eastAsia="仿宋_GB2312" w:cs="仿宋_GB2312"/>
                                  <w:color w:val="000000"/>
                                  <w:kern w:val="0"/>
                                  <w:sz w:val="24"/>
                                  <w:szCs w:val="24"/>
                                  <w:lang w:eastAsia="zh-CN" w:bidi="ar"/>
                                </w:rPr>
                                <w:t>重新申领</w:t>
                              </w:r>
                              <w:r>
                                <w:rPr>
                                  <w:rFonts w:hint="eastAsia" w:hAnsi="仿宋_GB2312" w:eastAsia="仿宋_GB2312" w:cs="仿宋_GB2312"/>
                                  <w:color w:val="000000"/>
                                  <w:kern w:val="0"/>
                                  <w:sz w:val="24"/>
                                  <w:szCs w:val="24"/>
                                  <w:lang w:val="en-US" w:eastAsia="zh-CN" w:bidi="ar"/>
                                </w:rPr>
                                <w:t>/</w:t>
                              </w:r>
                              <w:r>
                                <w:rPr>
                                  <w:rFonts w:hint="eastAsia" w:hAnsi="仿宋_GB2312" w:eastAsia="仿宋_GB2312" w:cs="仿宋_GB2312"/>
                                  <w:color w:val="000000"/>
                                  <w:kern w:val="0"/>
                                  <w:sz w:val="24"/>
                                  <w:szCs w:val="24"/>
                                  <w:lang w:eastAsia="zh-CN" w:bidi="ar"/>
                                </w:rPr>
                                <w:t>变更</w:t>
                              </w:r>
                              <w:r>
                                <w:rPr>
                                  <w:rFonts w:hint="eastAsia" w:ascii="仿宋_GB2312" w:hAnsi="仿宋_GB2312" w:eastAsia="仿宋_GB2312" w:cs="仿宋_GB2312"/>
                                  <w:color w:val="000000"/>
                                  <w:kern w:val="0"/>
                                  <w:sz w:val="24"/>
                                  <w:szCs w:val="24"/>
                                  <w:lang w:val="en-US" w:eastAsia="zh-CN" w:bidi="ar"/>
                                </w:rPr>
                                <w:t>排污许可</w:t>
                              </w:r>
                              <w:r>
                                <w:rPr>
                                  <w:rFonts w:hint="eastAsia" w:hAnsi="仿宋_GB2312" w:eastAsia="仿宋_GB2312" w:cs="仿宋_GB2312"/>
                                  <w:color w:val="000000"/>
                                  <w:kern w:val="0"/>
                                  <w:sz w:val="24"/>
                                  <w:szCs w:val="24"/>
                                  <w:lang w:val="en-US" w:eastAsia="zh-CN" w:bidi="ar"/>
                                </w:rPr>
                                <w:t>证</w:t>
                              </w:r>
                              <w:r>
                                <w:rPr>
                                  <w:rFonts w:hint="eastAsia" w:ascii="仿宋_GB2312" w:hAnsi="仿宋_GB2312" w:eastAsia="仿宋_GB2312" w:cs="仿宋_GB2312"/>
                                  <w:color w:val="000000"/>
                                  <w:kern w:val="0"/>
                                  <w:sz w:val="24"/>
                                  <w:szCs w:val="24"/>
                                  <w:lang w:val="en-US" w:eastAsia="zh-CN" w:bidi="ar"/>
                                </w:rPr>
                                <w:t>或进行排污登记</w:t>
                              </w:r>
                              <w:r>
                                <w:rPr>
                                  <w:rFonts w:hint="eastAsia" w:hAnsi="仿宋_GB2312" w:eastAsia="仿宋_GB2312" w:cs="仿宋_GB2312"/>
                                  <w:color w:val="000000"/>
                                  <w:kern w:val="0"/>
                                  <w:sz w:val="24"/>
                                  <w:szCs w:val="24"/>
                                  <w:lang w:val="en-US" w:eastAsia="zh-CN" w:bidi="ar"/>
                                </w:rPr>
                                <w:t>信息变更</w:t>
                              </w:r>
                            </w:p>
                          </w:txbxContent>
                        </wps:txbx>
                        <wps:bodyPr lIns="35999" tIns="45719" rIns="35999" bIns="45719" upright="true"/>
                      </wps:wsp>
                      <wps:wsp>
                        <wps:cNvPr id="73" name="直接箭头连接符 73"/>
                        <wps:cNvCnPr/>
                        <wps:spPr>
                          <a:xfrm>
                            <a:off x="8186" y="64336"/>
                            <a:ext cx="0" cy="516"/>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4" name="直接箭头连接符 74"/>
                        <wps:cNvCnPr/>
                        <wps:spPr>
                          <a:xfrm>
                            <a:off x="8181" y="62627"/>
                            <a:ext cx="0" cy="387"/>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5" name="直接连接符 75"/>
                        <wps:cNvCnPr/>
                        <wps:spPr>
                          <a:xfrm flipV="true">
                            <a:off x="6408" y="64866"/>
                            <a:ext cx="4476" cy="14"/>
                          </a:xfrm>
                          <a:prstGeom prst="line">
                            <a:avLst/>
                          </a:prstGeom>
                          <a:ln w="19050" cap="flat" cmpd="sng">
                            <a:solidFill>
                              <a:srgbClr val="000000"/>
                            </a:solidFill>
                            <a:prstDash val="solid"/>
                            <a:round/>
                            <a:headEnd type="none" w="med" len="med"/>
                            <a:tailEnd type="none" w="med" len="med"/>
                          </a:ln>
                          <a:effectLst>
                            <a:outerShdw dist="20000" dir="5400000" rotWithShape="0">
                              <a:srgbClr val="000000">
                                <a:alpha val="37999"/>
                              </a:srgbClr>
                            </a:outerShdw>
                          </a:effectLst>
                        </wps:spPr>
                        <wps:bodyPr upright="true"/>
                      </wps:wsp>
                      <wps:wsp>
                        <wps:cNvPr id="76" name="直接箭头连接符 76"/>
                        <wps:cNvCnPr/>
                        <wps:spPr>
                          <a:xfrm>
                            <a:off x="6411" y="64858"/>
                            <a:ext cx="3" cy="420"/>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7" name="直接箭头连接符 77"/>
                        <wps:cNvCnPr/>
                        <wps:spPr>
                          <a:xfrm flipH="true">
                            <a:off x="10854" y="64873"/>
                            <a:ext cx="7" cy="435"/>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78" name="圆角矩形 78"/>
                        <wps:cNvSpPr/>
                        <wps:spPr>
                          <a:xfrm>
                            <a:off x="6336" y="61658"/>
                            <a:ext cx="3814" cy="950"/>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lang w:eastAsia="zh-CN"/>
                                </w:rPr>
                              </w:pPr>
                              <w:r>
                                <w:rPr>
                                  <w:rFonts w:hint="eastAsia" w:ascii="仿宋_GB2312" w:hAnsi="仿宋_GB2312" w:eastAsia="仿宋_GB2312" w:cs="仿宋_GB2312"/>
                                  <w:kern w:val="0"/>
                                  <w:sz w:val="24"/>
                                  <w:szCs w:val="24"/>
                                  <w:lang w:val="en-US" w:eastAsia="zh-CN"/>
                                </w:rPr>
                                <w:t>申报材料经审查符合要求的，</w:t>
                              </w:r>
                              <w:r>
                                <w:rPr>
                                  <w:rFonts w:hint="eastAsia" w:hAnsi="仿宋_GB2312" w:eastAsia="仿宋_GB2312" w:cs="仿宋_GB2312"/>
                                  <w:kern w:val="0"/>
                                  <w:sz w:val="24"/>
                                  <w:szCs w:val="24"/>
                                  <w:lang w:val="en-US" w:eastAsia="zh-CN"/>
                                </w:rPr>
                                <w:t>予以</w:t>
                              </w:r>
                              <w:r>
                                <w:rPr>
                                  <w:rFonts w:hint="eastAsia" w:ascii="仿宋_GB2312" w:hAnsi="仿宋_GB2312" w:eastAsia="仿宋_GB2312" w:cs="仿宋_GB2312"/>
                                  <w:kern w:val="0"/>
                                  <w:sz w:val="24"/>
                                  <w:szCs w:val="24"/>
                                  <w:lang w:val="en-US" w:eastAsia="zh-CN"/>
                                </w:rPr>
                                <w:t>核发排污许可证</w:t>
                              </w:r>
                            </w:p>
                          </w:txbxContent>
                        </wps:txbx>
                        <wps:bodyPr lIns="35999" tIns="45719" rIns="35999" bIns="45719" upright="true"/>
                      </wps:wsp>
                      <wps:wsp>
                        <wps:cNvPr id="79" name="圆角矩形 79"/>
                        <wps:cNvSpPr/>
                        <wps:spPr>
                          <a:xfrm>
                            <a:off x="10840" y="61725"/>
                            <a:ext cx="3560" cy="949"/>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pStyle w:val="16"/>
                                <w:ind w:left="0" w:lef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申报材料需退回修改的，退回申报材料并一次性告知修改意见</w:t>
                              </w:r>
                            </w:p>
                            <w:p>
                              <w:pPr>
                                <w:rPr>
                                  <w:rFonts w:hint="eastAsia"/>
                                  <w:lang w:eastAsia="zh-CN"/>
                                </w:rPr>
                              </w:pPr>
                            </w:p>
                          </w:txbxContent>
                        </wps:txbx>
                        <wps:bodyPr lIns="35999" tIns="45719" rIns="35999" bIns="45719" upright="true"/>
                      </wps:wsp>
                      <wps:wsp>
                        <wps:cNvPr id="80" name="直接箭头连接符 80"/>
                        <wps:cNvCnPr/>
                        <wps:spPr>
                          <a:xfrm flipH="true">
                            <a:off x="6714" y="57103"/>
                            <a:ext cx="12" cy="355"/>
                          </a:xfrm>
                          <a:prstGeom prst="straightConnector1">
                            <a:avLst/>
                          </a:prstGeom>
                          <a:ln w="25400" cap="flat" cmpd="sng">
                            <a:solidFill>
                              <a:srgbClr val="000000"/>
                            </a:solidFill>
                            <a:prstDash val="solid"/>
                            <a:round/>
                            <a:headEnd type="none" w="med" len="med"/>
                            <a:tailEnd type="triangle" w="med" len="med"/>
                          </a:ln>
                          <a:effectLst>
                            <a:outerShdw dist="20000" dir="5400000" rotWithShape="0">
                              <a:srgbClr val="000000">
                                <a:alpha val="37999"/>
                              </a:srgbClr>
                            </a:outerShdw>
                          </a:effectLst>
                        </wps:spPr>
                        <wps:bodyPr/>
                      </wps:wsp>
                      <wps:wsp>
                        <wps:cNvPr id="81" name="圆角矩形 81"/>
                        <wps:cNvSpPr/>
                        <wps:spPr>
                          <a:xfrm>
                            <a:off x="5119" y="57494"/>
                            <a:ext cx="2917" cy="1548"/>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eastAsia="仿宋_GB2312"/>
                                  <w:sz w:val="24"/>
                                  <w:szCs w:val="24"/>
                                  <w:lang w:eastAsia="zh-CN"/>
                                </w:rPr>
                              </w:pPr>
                              <w:r>
                                <w:rPr>
                                  <w:rFonts w:hint="eastAsia" w:ascii="仿宋_GB2312" w:hAnsi="仿宋_GB2312" w:eastAsia="仿宋_GB2312" w:cs="仿宋_GB2312"/>
                                  <w:color w:val="000000"/>
                                  <w:kern w:val="0"/>
                                  <w:sz w:val="24"/>
                                  <w:szCs w:val="24"/>
                                  <w:lang w:bidi="ar"/>
                                </w:rPr>
                                <w:t>属于</w:t>
                              </w:r>
                              <w:r>
                                <w:rPr>
                                  <w:rFonts w:hint="eastAsia" w:ascii="仿宋_GB2312" w:hAnsi="仿宋_GB2312" w:eastAsia="仿宋_GB2312" w:cs="仿宋_GB2312"/>
                                  <w:color w:val="000000"/>
                                  <w:kern w:val="0"/>
                                  <w:sz w:val="24"/>
                                  <w:szCs w:val="24"/>
                                  <w:lang w:eastAsia="zh-CN" w:bidi="ar"/>
                                </w:rPr>
                                <w:t>试点行业范围但不符合生态环境分区管控要求的，提出优化调整项目建设内容或重新选址意见</w:t>
                              </w:r>
                            </w:p>
                          </w:txbxContent>
                        </wps:txbx>
                        <wps:bodyPr lIns="35999" tIns="45719" rIns="35999" bIns="45719" upright="true"/>
                      </wps:wsp>
                      <wps:wsp>
                        <wps:cNvPr id="82" name="圆角矩形 82"/>
                        <wps:cNvSpPr/>
                        <wps:spPr>
                          <a:xfrm>
                            <a:off x="6124" y="63024"/>
                            <a:ext cx="4055" cy="1276"/>
                          </a:xfrm>
                          <a:prstGeom prst="roundRect">
                            <a:avLst>
                              <a:gd name="adj" fmla="val 16667"/>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eastAsia"/>
                                  <w:sz w:val="24"/>
                                  <w:lang w:eastAsia="zh-CN"/>
                                </w:rPr>
                              </w:pPr>
                              <w:r>
                                <w:rPr>
                                  <w:rFonts w:hint="eastAsia" w:ascii="仿宋_GB2312" w:hAnsi="仿宋_GB2312" w:eastAsia="仿宋_GB2312" w:cs="仿宋_GB2312"/>
                                  <w:kern w:val="0"/>
                                  <w:sz w:val="24"/>
                                  <w:szCs w:val="24"/>
                                  <w:lang w:val="en-US" w:eastAsia="zh-CN"/>
                                </w:rPr>
                                <w:t>开工建设，在</w:t>
                              </w:r>
                              <w:r>
                                <w:rPr>
                                  <w:rFonts w:hint="eastAsia" w:ascii="仿宋_GB2312" w:hAnsi="仿宋_GB2312" w:eastAsia="仿宋_GB2312" w:cs="仿宋_GB2312"/>
                                  <w:kern w:val="0"/>
                                  <w:sz w:val="24"/>
                                  <w:szCs w:val="24"/>
                                  <w:lang w:val="en-US" w:eastAsia="zh-Hans"/>
                                </w:rPr>
                                <w:t>项目</w:t>
                              </w:r>
                              <w:r>
                                <w:rPr>
                                  <w:rFonts w:hint="eastAsia" w:ascii="仿宋_GB2312" w:hAnsi="仿宋_GB2312" w:eastAsia="仿宋_GB2312" w:cs="仿宋_GB2312"/>
                                  <w:kern w:val="0"/>
                                  <w:sz w:val="24"/>
                                  <w:szCs w:val="24"/>
                                  <w:lang w:val="en-US" w:eastAsia="zh-CN"/>
                                </w:rPr>
                                <w:t>建设期、建成后投产前，属地县区级生态环境局至少分别开展现场帮扶1次</w:t>
                              </w:r>
                            </w:p>
                          </w:txbxContent>
                        </wps:txbx>
                        <wps:bodyPr lIns="35999" tIns="45719" rIns="35999" bIns="45719" upright="true"/>
                      </wps:wsp>
                    </wpg:wgp>
                  </a:graphicData>
                </a:graphic>
              </wp:anchor>
            </w:drawing>
          </mc:Choice>
          <mc:Fallback>
            <w:pict>
              <v:group id="_x0000_s1026" o:spid="_x0000_s1026" o:spt="203" style="position:absolute;left:0pt;margin-left:-61.6pt;margin-top:9.85pt;height:602.5pt;width:560.7pt;z-index:251660288;mso-width-relative:page;mso-height-relative:page;" coordorigin="4907,54509" coordsize="11214,12050" o:gfxdata="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">
                <o:lock v:ext="edit" aspectratio="f"/>
                <v:roundrect id="_x0000_s1026" o:spid="_x0000_s1026" o:spt="2" style="position:absolute;left:8842;top:54509;height:1045;width:3474;" fillcolor="#FFFFFF" filled="t" stroked="t" coordsize="21600,21600" arcsize="0.166666666666667" o:gfxdata="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6NqKS7AAAA2wAAAA8AAAAAAAAAAQAgAAAAOAAAAGRycy9kb3ducmV2Lnht&#10;bFBLAQIUABQAAAAIAIdO4kAzLwWeOwAAADkAAAAQAAAAAAAAAAEAIAAAACABAABkcnMvc2hhcGV4&#10;bWwueG1sUEsFBgAAAAAGAAYAWwEAAMoDAAAAAA==&#10;">
                  <v:fill on="t" focussize="0,0"/>
                  <v:stroke weight="2pt" color="#000000" joinstyle="round"/>
                  <v:imagedata o:title=""/>
                  <o:lock v:ext="edit" aspectratio="f"/>
                  <v:textbox inset="2.83456692913386pt,3.59992125984252pt,2.83456692913386pt,3.59992125984252pt">
                    <w:txbxContent>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color w:val="auto"/>
                            <w:sz w:val="24"/>
                            <w:szCs w:val="24"/>
                            <w:lang w:eastAsia="zh-CN"/>
                          </w:rPr>
                        </w:pPr>
                        <w:r>
                          <w:rPr>
                            <w:rFonts w:hint="eastAsia" w:ascii="仿宋_GB2312" w:hAnsi="仿宋_GB2312" w:eastAsia="仿宋_GB2312" w:cs="仿宋_GB2312"/>
                            <w:color w:val="auto"/>
                            <w:kern w:val="0"/>
                            <w:sz w:val="24"/>
                            <w:szCs w:val="24"/>
                            <w:lang w:val="en-US" w:eastAsia="zh-CN"/>
                          </w:rPr>
                          <w:t>建设单位向属地县区（管委会）生态环境局</w:t>
                        </w:r>
                        <w:r>
                          <w:rPr>
                            <w:rFonts w:hint="eastAsia" w:hAnsi="仿宋_GB2312" w:eastAsia="仿宋_GB2312" w:cs="仿宋_GB2312"/>
                            <w:color w:val="auto"/>
                            <w:kern w:val="0"/>
                            <w:sz w:val="24"/>
                            <w:szCs w:val="24"/>
                            <w:lang w:val="en-US" w:eastAsia="zh-CN"/>
                          </w:rPr>
                          <w:t>提交申请试点的函</w:t>
                        </w:r>
                      </w:p>
                    </w:txbxContent>
                  </v:textbox>
                </v:roundrect>
                <v:shape id="_x0000_s1026" o:spid="_x0000_s1026" o:spt="32" type="#_x0000_t32" style="position:absolute;left:10579;top:55554;height:426;width:0;" filled="f" stroked="t" coordsize="21600,21600" o:gfxdata="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&#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jb42u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roundrect id="_x0000_s1026" o:spid="_x0000_s1026" o:spt="2" style="position:absolute;left:7487;top:55999;height:650;width:6340;" fillcolor="#FFFFFF" filled="t" stroked="t" coordsize="21600,21600" arcsize="0.166666666666667" o:gfxdata="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&#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gXplNuQAAANsAAAAPAAAAAAAAAAEAIAAAADgAAABkcnMvZG93bnJldi54bWxQ&#10;SwECFAAUAAAACACHTuJAMy8FnjsAAAA5AAAAEAAAAAAAAAABACAAAAAeAQAAZHJzL3NoYXBleG1s&#10;LnhtbFBLBQYAAAAABgAGAFsBAADIAwAAAAA=&#10;">
                  <v:fill on="t" focussize="0,0"/>
                  <v:stroke weight="2pt" color="#000000" joinstyle="round"/>
                  <v:imagedata o:title=""/>
                  <o:lock v:ext="edit" aspectratio="f"/>
                  <v:textbox inset="2.83456692913386pt,3.59992125984252pt,2.83456692913386pt,3.59992125984252pt">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eastAsia="zh-CN"/>
                          </w:rPr>
                        </w:pPr>
                        <w:r>
                          <w:rPr>
                            <w:rFonts w:hint="eastAsia" w:ascii="仿宋_GB2312" w:hAnsi="仿宋_GB2312" w:eastAsia="仿宋_GB2312" w:cs="仿宋_GB2312"/>
                            <w:kern w:val="0"/>
                            <w:sz w:val="24"/>
                            <w:szCs w:val="24"/>
                            <w:lang w:val="en-US" w:eastAsia="zh-CN"/>
                          </w:rPr>
                          <w:t>属地县区（管委会）生态环境局开展试点项目符合性分析</w:t>
                        </w:r>
                      </w:p>
                    </w:txbxContent>
                  </v:textbox>
                </v:roundrect>
                <v:shape id="_x0000_s1026" o:spid="_x0000_s1026" o:spt="32" type="#_x0000_t32" style="position:absolute;left:10629;top:56694;flip:x;height:634;width:8;" filled="f" stroked="t" coordsize="21600,21600" o:gfxdata="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UsoQK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line id="_x0000_s1026" o:spid="_x0000_s1026" o:spt="20" style="position:absolute;left:6703;top:57077;flip:y;height:28;width:7369;" filled="f" stroked="t" coordsize="21600,21600" o:gfxdata="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o62Ae7AAAA2wAAAA8AAAAAAAAAAQAgAAAAOAAAAGRycy9kb3ducmV2Lnht&#10;bFBLAQIUABQAAAAIAIdO4kAzLwWeOwAAADkAAAAQAAAAAAAAAAEAIAAAACABAABkcnMvc2hhcGV4&#10;bWwueG1sUEsFBgAAAAAGAAYAWwEAAMoDAAAAAA==&#10;">
                  <v:fill on="f" focussize="0,0"/>
                  <v:stroke weight="1.5pt" color="#000000" joinstyle="round"/>
                  <v:imagedata o:title=""/>
                  <o:lock v:ext="edit" aspectratio="f"/>
                  <v:shadow on="t" color="#000000" opacity="24903f" offset="0pt,1.5748031496063pt" origin="0f,32768f" matrix="65536f,0f,0f,65536f"/>
                </v:line>
                <v:roundrect id="_x0000_s1026" o:spid="_x0000_s1026" o:spt="2" style="position:absolute;left:8493;top:57375;height:1602;width:4083;" fillcolor="#FFFFFF" filled="t" stroked="t" coordsize="21600,21600" arcsize="0.166666666666667" o:gfxdata="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2mQavAAAANsAAAAPAAAAAAAAAAEAIAAAADgAAABkcnMvZG93bnJldi54&#10;bWxQSwECFAAUAAAACACHTuJAMy8FnjsAAAA5AAAAEAAAAAAAAAABACAAAAAhAQAAZHJzL3NoYXBl&#10;eG1sLnhtbFBLBQYAAAAABgAGAFsBAADLAwAAAAA=&#10;">
                  <v:fill on="t" focussize="0,0"/>
                  <v:stroke weight="2pt" color="#000000" joinstyle="round"/>
                  <v:imagedata o:title=""/>
                  <o:lock v:ext="edit" aspectratio="f"/>
                  <v:textbox inset="2.83456692913386pt,3.59992125984252pt,2.83456692913386pt,3.59992125984252pt">
                    <w:txbxContent>
                      <w:p>
                        <w:pPr>
                          <w:jc w:val="center"/>
                          <w:rPr>
                            <w:rFonts w:hint="eastAsia" w:eastAsia="仿宋_GB2312"/>
                            <w:color w:val="auto"/>
                            <w:sz w:val="24"/>
                            <w:szCs w:val="24"/>
                            <w:lang w:eastAsia="zh-CN"/>
                          </w:rPr>
                        </w:pPr>
                        <w:r>
                          <w:rPr>
                            <w:rFonts w:hint="eastAsia" w:ascii="仿宋_GB2312" w:hAnsi="仿宋_GB2312" w:eastAsia="仿宋_GB2312" w:cs="仿宋_GB2312"/>
                            <w:color w:val="auto"/>
                            <w:kern w:val="0"/>
                            <w:sz w:val="24"/>
                            <w:szCs w:val="24"/>
                            <w:lang w:bidi="ar"/>
                          </w:rPr>
                          <w:t>属于</w:t>
                        </w:r>
                        <w:r>
                          <w:rPr>
                            <w:rFonts w:hint="eastAsia" w:ascii="仿宋_GB2312" w:hAnsi="仿宋_GB2312" w:eastAsia="仿宋_GB2312" w:cs="仿宋_GB2312"/>
                            <w:color w:val="auto"/>
                            <w:kern w:val="0"/>
                            <w:sz w:val="24"/>
                            <w:szCs w:val="24"/>
                            <w:lang w:eastAsia="zh-CN" w:bidi="ar"/>
                          </w:rPr>
                          <w:t>试点项目行业</w:t>
                        </w:r>
                        <w:r>
                          <w:rPr>
                            <w:rFonts w:hint="eastAsia" w:ascii="仿宋_GB2312" w:hAnsi="仿宋_GB2312" w:eastAsia="仿宋_GB2312" w:cs="仿宋_GB2312"/>
                            <w:color w:val="auto"/>
                            <w:kern w:val="0"/>
                            <w:sz w:val="24"/>
                            <w:szCs w:val="24"/>
                            <w:lang w:bidi="ar"/>
                          </w:rPr>
                          <w:t>范围</w:t>
                        </w:r>
                        <w:r>
                          <w:rPr>
                            <w:rFonts w:hint="eastAsia" w:ascii="仿宋_GB2312" w:hAnsi="仿宋_GB2312" w:eastAsia="仿宋_GB2312" w:cs="仿宋_GB2312"/>
                            <w:color w:val="auto"/>
                            <w:kern w:val="0"/>
                            <w:sz w:val="24"/>
                            <w:szCs w:val="24"/>
                            <w:lang w:eastAsia="zh-CN" w:bidi="ar"/>
                          </w:rPr>
                          <w:t>且符合生态环境分区管控要求的，</w:t>
                        </w:r>
                        <w:r>
                          <w:rPr>
                            <w:rFonts w:hint="eastAsia" w:hAnsi="仿宋_GB2312" w:eastAsia="仿宋_GB2312" w:cs="仿宋_GB2312"/>
                            <w:color w:val="auto"/>
                            <w:kern w:val="0"/>
                            <w:sz w:val="24"/>
                            <w:szCs w:val="24"/>
                            <w:lang w:eastAsia="zh-CN" w:bidi="ar"/>
                          </w:rPr>
                          <w:t>报市生态环境局审核后函复，</w:t>
                        </w:r>
                        <w:r>
                          <w:rPr>
                            <w:rFonts w:hint="eastAsia" w:ascii="仿宋_GB2312" w:hAnsi="仿宋_GB2312" w:eastAsia="仿宋_GB2312" w:cs="仿宋_GB2312"/>
                            <w:color w:val="auto"/>
                            <w:kern w:val="0"/>
                            <w:sz w:val="24"/>
                            <w:szCs w:val="24"/>
                            <w:lang w:val="en-US" w:eastAsia="zh-CN" w:bidi="ar"/>
                          </w:rPr>
                          <w:t>同时</w:t>
                        </w:r>
                        <w:r>
                          <w:rPr>
                            <w:rFonts w:hint="eastAsia" w:hAnsi="仿宋_GB2312" w:eastAsia="仿宋_GB2312" w:cs="仿宋_GB2312"/>
                            <w:color w:val="auto"/>
                            <w:kern w:val="0"/>
                            <w:sz w:val="24"/>
                            <w:szCs w:val="24"/>
                            <w:lang w:val="en-US" w:eastAsia="zh-CN" w:bidi="ar"/>
                          </w:rPr>
                          <w:t>抄送属地</w:t>
                        </w:r>
                        <w:r>
                          <w:rPr>
                            <w:rFonts w:hint="eastAsia" w:ascii="仿宋_GB2312" w:hAnsi="仿宋_GB2312" w:eastAsia="仿宋_GB2312" w:cs="仿宋_GB2312"/>
                            <w:color w:val="auto"/>
                            <w:kern w:val="0"/>
                            <w:sz w:val="24"/>
                            <w:szCs w:val="24"/>
                            <w:lang w:val="en-US" w:eastAsia="zh-CN"/>
                          </w:rPr>
                          <w:t>园区管委</w:t>
                        </w:r>
                        <w:r>
                          <w:rPr>
                            <w:rFonts w:hint="eastAsia" w:hAnsi="仿宋_GB2312" w:eastAsia="仿宋_GB2312" w:cs="仿宋_GB2312"/>
                            <w:color w:val="auto"/>
                            <w:kern w:val="0"/>
                            <w:sz w:val="24"/>
                            <w:szCs w:val="24"/>
                            <w:lang w:val="en-US" w:eastAsia="zh-CN"/>
                          </w:rPr>
                          <w:t>会或属地乡镇人民政府</w:t>
                        </w:r>
                      </w:p>
                    </w:txbxContent>
                  </v:textbox>
                </v:roundrect>
                <v:roundrect id="_x0000_s1026" o:spid="_x0000_s1026" o:spt="2" style="position:absolute;left:12717;top:57583;height:1549;width:3404;" fillcolor="#FFFFFF" filled="t" stroked="t" coordsize="21600,21600" arcsize="0.166666666666667" o:gfxdata="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CWwYG7AAAA2wAAAA8AAAAAAAAAAQAgAAAAOAAAAGRycy9kb3ducmV2Lnht&#10;bFBLAQIUABQAAAAIAIdO4kAzLwWeOwAAADkAAAAQAAAAAAAAAAEAIAAAACABAABkcnMvc2hhcGV4&#10;bWwueG1sUEsFBgAAAAAGAAYAWwEAAMoDAAAAAA==&#10;">
                  <v:fill on="t" focussize="0,0"/>
                  <v:stroke weight="2pt" color="#000000" joinstyle="round"/>
                  <v:imagedata o:title=""/>
                  <o:lock v:ext="edit" aspectratio="f"/>
                  <v:textbox inset="2.83456692913386pt,3.59992125984252pt,2.83456692913386pt,3.59992125984252pt">
                    <w:txbxContent>
                      <w:p>
                        <w:pPr>
                          <w:pStyle w:val="16"/>
                          <w:ind w:left="0" w:leftChars="0" w:firstLine="0" w:firstLineChars="0"/>
                          <w:jc w:val="center"/>
                          <w:rPr>
                            <w:sz w:val="24"/>
                            <w:szCs w:val="24"/>
                          </w:rPr>
                        </w:pPr>
                        <w:r>
                          <w:rPr>
                            <w:rFonts w:hint="eastAsia" w:ascii="仿宋_GB2312" w:hAnsi="仿宋_GB2312" w:eastAsia="仿宋_GB2312" w:cs="仿宋_GB2312"/>
                            <w:color w:val="000000"/>
                            <w:kern w:val="0"/>
                            <w:sz w:val="24"/>
                            <w:szCs w:val="24"/>
                            <w:lang w:eastAsia="zh-CN" w:bidi="ar"/>
                          </w:rPr>
                          <w:t>不</w:t>
                        </w:r>
                        <w:r>
                          <w:rPr>
                            <w:rFonts w:hint="eastAsia" w:ascii="仿宋_GB2312" w:hAnsi="仿宋_GB2312" w:eastAsia="仿宋_GB2312" w:cs="仿宋_GB2312"/>
                            <w:color w:val="000000"/>
                            <w:kern w:val="0"/>
                            <w:sz w:val="24"/>
                            <w:szCs w:val="24"/>
                            <w:lang w:bidi="ar"/>
                          </w:rPr>
                          <w:t>属于</w:t>
                        </w:r>
                        <w:r>
                          <w:rPr>
                            <w:rFonts w:hint="eastAsia" w:ascii="仿宋_GB2312" w:hAnsi="仿宋_GB2312" w:eastAsia="仿宋_GB2312" w:cs="仿宋_GB2312"/>
                            <w:color w:val="000000"/>
                            <w:kern w:val="0"/>
                            <w:sz w:val="24"/>
                            <w:szCs w:val="24"/>
                            <w:lang w:eastAsia="zh-CN" w:bidi="ar"/>
                          </w:rPr>
                          <w:t>试点项目行业</w:t>
                        </w:r>
                        <w:r>
                          <w:rPr>
                            <w:rFonts w:hint="eastAsia" w:ascii="仿宋_GB2312" w:hAnsi="仿宋_GB2312" w:eastAsia="仿宋_GB2312" w:cs="仿宋_GB2312"/>
                            <w:color w:val="000000"/>
                            <w:kern w:val="0"/>
                            <w:sz w:val="24"/>
                            <w:szCs w:val="24"/>
                            <w:lang w:bidi="ar"/>
                          </w:rPr>
                          <w:t>范围</w:t>
                        </w:r>
                        <w:r>
                          <w:rPr>
                            <w:rFonts w:hint="eastAsia" w:ascii="仿宋_GB2312" w:hAnsi="仿宋_GB2312" w:eastAsia="仿宋_GB2312" w:cs="仿宋_GB2312"/>
                            <w:color w:val="000000"/>
                            <w:kern w:val="0"/>
                            <w:sz w:val="24"/>
                            <w:szCs w:val="24"/>
                            <w:lang w:eastAsia="zh-CN" w:bidi="ar"/>
                          </w:rPr>
                          <w:t>的，</w:t>
                        </w:r>
                        <w:r>
                          <w:rPr>
                            <w:rFonts w:hint="eastAsia" w:ascii="仿宋_GB2312" w:hAnsi="仿宋_GB2312" w:eastAsia="仿宋_GB2312" w:cs="仿宋_GB2312"/>
                            <w:color w:val="000000"/>
                            <w:kern w:val="0"/>
                            <w:sz w:val="24"/>
                            <w:szCs w:val="24"/>
                            <w:lang w:bidi="ar"/>
                          </w:rPr>
                          <w:t>告知</w:t>
                        </w:r>
                        <w:r>
                          <w:rPr>
                            <w:rFonts w:hint="eastAsia" w:ascii="仿宋_GB2312" w:hAnsi="仿宋_GB2312" w:eastAsia="仿宋_GB2312" w:cs="仿宋_GB2312"/>
                            <w:color w:val="000000"/>
                            <w:kern w:val="0"/>
                            <w:sz w:val="24"/>
                            <w:szCs w:val="24"/>
                            <w:lang w:eastAsia="zh-CN" w:bidi="ar"/>
                          </w:rPr>
                          <w:t>依照《建设项目环境影响评价分类管理名录》（</w:t>
                        </w:r>
                        <w:r>
                          <w:rPr>
                            <w:rFonts w:hint="eastAsia" w:ascii="仿宋_GB2312" w:hAnsi="仿宋_GB2312" w:eastAsia="仿宋_GB2312" w:cs="仿宋_GB2312"/>
                            <w:color w:val="000000"/>
                            <w:kern w:val="0"/>
                            <w:sz w:val="24"/>
                            <w:szCs w:val="24"/>
                            <w:lang w:val="en-US" w:eastAsia="zh-CN" w:bidi="ar"/>
                          </w:rPr>
                          <w:t>2021年版</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相关规定</w:t>
                        </w:r>
                        <w:r>
                          <w:rPr>
                            <w:rFonts w:hint="eastAsia" w:ascii="仿宋_GB2312" w:hAnsi="仿宋_GB2312" w:eastAsia="仿宋_GB2312" w:cs="仿宋_GB2312"/>
                            <w:color w:val="000000"/>
                            <w:kern w:val="0"/>
                            <w:sz w:val="24"/>
                            <w:szCs w:val="24"/>
                            <w:lang w:eastAsia="zh-CN" w:bidi="ar"/>
                          </w:rPr>
                          <w:t>办理环评手续</w:t>
                        </w:r>
                      </w:p>
                      <w:p>
                        <w:pPr>
                          <w:jc w:val="center"/>
                          <w:rPr>
                            <w:rFonts w:hint="eastAsia" w:eastAsia="仿宋_GB2312"/>
                            <w:sz w:val="24"/>
                            <w:szCs w:val="24"/>
                            <w:lang w:eastAsia="zh-CN"/>
                          </w:rPr>
                        </w:pPr>
                      </w:p>
                    </w:txbxContent>
                  </v:textbox>
                </v:roundrect>
                <v:shape id="_x0000_s1026" o:spid="_x0000_s1026" o:spt="32" type="#_x0000_t32" style="position:absolute;left:14078;top:57090;height:403;width:6;" filled="f" stroked="t" coordsize="21600,21600" o:gfxdata="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Zlt6G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shape id="_x0000_s1026" o:spid="_x0000_s1026" o:spt="32" type="#_x0000_t32" style="position:absolute;left:10521;top:58978;height:347;width:11;" filled="f" stroked="t" coordsize="21600,21600" o:gfxdata="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kpEjq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roundrect id="_x0000_s1026" o:spid="_x0000_s1026" o:spt="2" style="position:absolute;left:8280;top:59313;height:1544;width:4451;" fillcolor="#FFFFFF" filled="t" stroked="t" coordsize="21600,21600" arcsize="0.166666666666667" o:gfxdata="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DhYhm7AAAA2wAAAA8AAAAAAAAAAQAgAAAAOAAAAGRycy9kb3ducmV2Lnht&#10;bFBLAQIUABQAAAAIAIdO4kAzLwWeOwAAADkAAAAQAAAAAAAAAAEAIAAAACABAABkcnMvc2hhcGV4&#10;bWwueG1sUEsFBgAAAAAGAAYAWwEAAMoDAAAAAA==&#10;">
                  <v:fill on="t" focussize="0,0"/>
                  <v:stroke weight="2pt" color="#000000" joinstyle="round"/>
                  <v:imagedata o:title=""/>
                  <o:lock v:ext="edit" aspectratio="f"/>
                  <v:textbox inset="2.83456692913386pt,3.59992125984252pt,2.83456692913386pt,3.59992125984252pt">
                    <w:txbxContent>
                      <w:p>
                        <w:pPr>
                          <w:jc w:val="center"/>
                          <w:rPr>
                            <w:rFonts w:hint="eastAsia" w:eastAsia="仿宋_GB2312"/>
                            <w:sz w:val="24"/>
                            <w:szCs w:val="24"/>
                            <w:lang w:eastAsia="zh-CN"/>
                          </w:rPr>
                        </w:pPr>
                        <w:r>
                          <w:rPr>
                            <w:rFonts w:hint="eastAsia" w:hAnsi="仿宋_GB2312" w:eastAsia="仿宋_GB2312" w:cs="仿宋_GB2312"/>
                            <w:color w:val="000000"/>
                            <w:kern w:val="0"/>
                            <w:sz w:val="24"/>
                            <w:szCs w:val="24"/>
                            <w:lang w:val="en-US" w:eastAsia="zh-CN" w:bidi="ar"/>
                          </w:rPr>
                          <w:t>建设单位向属地县区（管委会）生态环境局</w:t>
                        </w:r>
                        <w:r>
                          <w:rPr>
                            <w:rFonts w:hint="eastAsia" w:ascii="仿宋_GB2312" w:hAnsi="仿宋_GB2312" w:eastAsia="仿宋_GB2312" w:cs="仿宋_GB2312"/>
                            <w:color w:val="000000"/>
                            <w:kern w:val="0"/>
                            <w:sz w:val="24"/>
                            <w:szCs w:val="24"/>
                            <w:lang w:val="en-US" w:eastAsia="zh-CN" w:bidi="ar"/>
                          </w:rPr>
                          <w:t>申领排污许可</w:t>
                        </w:r>
                        <w:r>
                          <w:rPr>
                            <w:rFonts w:hint="eastAsia" w:hAnsi="仿宋_GB2312" w:eastAsia="仿宋_GB2312" w:cs="仿宋_GB2312"/>
                            <w:color w:val="000000"/>
                            <w:kern w:val="0"/>
                            <w:sz w:val="24"/>
                            <w:szCs w:val="24"/>
                            <w:lang w:val="en-US" w:eastAsia="zh-CN" w:bidi="ar"/>
                          </w:rPr>
                          <w:t>证</w:t>
                        </w:r>
                        <w:r>
                          <w:rPr>
                            <w:rFonts w:hint="eastAsia" w:ascii="仿宋_GB2312" w:hAnsi="仿宋_GB2312" w:eastAsia="仿宋_GB2312" w:cs="仿宋_GB2312"/>
                            <w:color w:val="000000"/>
                            <w:kern w:val="0"/>
                            <w:sz w:val="24"/>
                            <w:szCs w:val="24"/>
                            <w:lang w:val="en-US" w:eastAsia="zh-CN" w:bidi="ar"/>
                          </w:rPr>
                          <w:t>或进行排污登记</w:t>
                        </w:r>
                        <w:r>
                          <w:rPr>
                            <w:rFonts w:hint="eastAsia" w:hAnsi="仿宋_GB2312" w:eastAsia="仿宋_GB2312" w:cs="仿宋_GB2312"/>
                            <w:color w:val="000000"/>
                            <w:kern w:val="0"/>
                            <w:sz w:val="24"/>
                            <w:szCs w:val="24"/>
                            <w:lang w:val="en-US" w:eastAsia="zh-CN" w:bidi="ar"/>
                          </w:rPr>
                          <w:t>（</w:t>
                        </w:r>
                        <w:r>
                          <w:rPr>
                            <w:rFonts w:hint="eastAsia" w:ascii="仿宋_GB2312" w:hAnsi="仿宋_GB2312" w:eastAsia="仿宋_GB2312" w:cs="仿宋_GB2312"/>
                            <w:kern w:val="0"/>
                            <w:sz w:val="24"/>
                            <w:szCs w:val="24"/>
                            <w:lang w:val="en-US" w:eastAsia="zh-CN"/>
                          </w:rPr>
                          <w:t>需购买排污权交易指标的，于排污许可证申领</w:t>
                        </w:r>
                        <w:r>
                          <w:rPr>
                            <w:rFonts w:hint="eastAsia" w:hAnsi="仿宋_GB2312" w:eastAsia="仿宋_GB2312" w:cs="仿宋_GB2312"/>
                            <w:kern w:val="0"/>
                            <w:sz w:val="24"/>
                            <w:szCs w:val="24"/>
                            <w:lang w:val="en-US" w:eastAsia="zh-CN"/>
                          </w:rPr>
                          <w:t>/排污登记</w:t>
                        </w:r>
                        <w:r>
                          <w:rPr>
                            <w:rFonts w:hint="eastAsia" w:ascii="仿宋_GB2312" w:hAnsi="仿宋_GB2312" w:eastAsia="仿宋_GB2312" w:cs="仿宋_GB2312"/>
                            <w:kern w:val="0"/>
                            <w:sz w:val="24"/>
                            <w:szCs w:val="24"/>
                            <w:lang w:val="en-US" w:eastAsia="zh-CN"/>
                          </w:rPr>
                          <w:t>前提交排污权交易</w:t>
                        </w:r>
                        <w:r>
                          <w:rPr>
                            <w:rFonts w:hint="default" w:hAnsi="仿宋_GB2312" w:eastAsia="仿宋_GB2312" w:cs="仿宋_GB2312"/>
                            <w:kern w:val="0"/>
                            <w:sz w:val="24"/>
                            <w:szCs w:val="24"/>
                            <w:lang w:val="en" w:eastAsia="zh-CN"/>
                          </w:rPr>
                          <w:t>)</w:t>
                        </w:r>
                        <w:r>
                          <w:rPr>
                            <w:rFonts w:hint="eastAsia" w:ascii="仿宋_GB2312" w:hAnsi="仿宋_GB2312" w:eastAsia="仿宋_GB2312" w:cs="仿宋_GB2312"/>
                            <w:kern w:val="0"/>
                            <w:sz w:val="24"/>
                            <w:szCs w:val="24"/>
                            <w:lang w:val="en-US" w:eastAsia="zh-CN"/>
                          </w:rPr>
                          <w:t>凭证</w:t>
                        </w:r>
                        <w:r>
                          <w:rPr>
                            <w:rFonts w:hint="eastAsia" w:hAnsi="仿宋_GB2312" w:eastAsia="仿宋_GB2312" w:cs="仿宋_GB2312"/>
                            <w:kern w:val="0"/>
                            <w:sz w:val="24"/>
                            <w:szCs w:val="24"/>
                            <w:lang w:val="en-US" w:eastAsia="zh-CN"/>
                          </w:rPr>
                          <w:t>）</w:t>
                        </w:r>
                      </w:p>
                      <w:p>
                        <w:pPr>
                          <w:rPr>
                            <w:rFonts w:hint="eastAsia"/>
                            <w:lang w:eastAsia="zh-CN"/>
                          </w:rPr>
                        </w:pPr>
                      </w:p>
                    </w:txbxContent>
                  </v:textbox>
                </v:roundrect>
                <v:roundrect id="_x0000_s1026" o:spid="_x0000_s1026" o:spt="2" style="position:absolute;left:9207;top:65307;height:1252;width:4473;" fillcolor="#FFFFFF" filled="t" stroked="t" coordsize="21600,21600" arcsize="0.166666666666667" o:gfxdata="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rceCvAAAANsAAAAPAAAAAAAAAAEAIAAAADgAAABkcnMvZG93bnJldi54&#10;bWxQSwECFAAUAAAACACHTuJAMy8FnjsAAAA5AAAAEAAAAAAAAAABACAAAAAhAQAAZHJzL3NoYXBl&#10;eG1sLnhtbFBLBQYAAAAABgAGAFsBAADLAwAAAAA=&#10;">
                  <v:fill on="t" focussize="0,0"/>
                  <v:stroke weight="2pt" color="#000000" joinstyle="round"/>
                  <v:imagedata o:title=""/>
                  <o:lock v:ext="edit" aspectratio="f"/>
                  <v:textbox inset="2.83456692913386pt,3.59992125984252pt,2.83456692913386pt,3.59992125984252pt">
                    <w:txbxContent>
                      <w:p>
                        <w:pPr>
                          <w:pStyle w:val="16"/>
                          <w:ind w:left="0" w:leftChars="0" w:firstLine="0" w:firstLineChars="0"/>
                          <w:jc w:val="center"/>
                          <w:rPr>
                            <w:sz w:val="24"/>
                            <w:szCs w:val="24"/>
                          </w:rPr>
                        </w:pPr>
                        <w:r>
                          <w:rPr>
                            <w:rFonts w:hint="eastAsia" w:ascii="仿宋_GB2312" w:hAnsi="仿宋_GB2312" w:eastAsia="仿宋_GB2312" w:cs="仿宋_GB2312"/>
                            <w:color w:val="000000"/>
                            <w:kern w:val="0"/>
                            <w:sz w:val="24"/>
                            <w:szCs w:val="24"/>
                            <w:lang w:eastAsia="zh-CN" w:bidi="ar"/>
                          </w:rPr>
                          <w:t>建设内容发生变动且突破《方案》实施条件的，告知依照相关规定办理环评手续，并对违法行为依法依规进行处罚</w:t>
                        </w:r>
                      </w:p>
                      <w:p>
                        <w:pPr>
                          <w:rPr>
                            <w:rFonts w:hint="eastAsia"/>
                            <w:lang w:eastAsia="zh-CN"/>
                          </w:rPr>
                        </w:pPr>
                      </w:p>
                    </w:txbxContent>
                  </v:textbox>
                </v:roundrect>
                <v:shape id="_x0000_s1026" o:spid="_x0000_s1026" o:spt="32" type="#_x0000_t32" style="position:absolute;left:10464;top:60841;flip:x;height:343;width:6;" filled="f" stroked="t" coordsize="21600,21600" o:gfxdata="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QMziS4AAAA2wAAAA8AAAAAAAAAAQAgAAAAOAAAAGRycy9kb3ducmV2LnhtbFBL&#10;AQIUABQAAAAIAIdO4kAzLwWeOwAAADkAAAAQAAAAAAAAAAEAIAAAAB0BAABkcnMvc2hhcGV4bWwu&#10;eG1sUEsFBgAAAAAGAAYAWwEAAMcDAAAAAA==&#10;">
                  <v:fill on="f" focussize="0,0"/>
                  <v:stroke weight="2pt" color="#000000" joinstyle="round" endarrow="block"/>
                  <v:imagedata o:title=""/>
                  <o:lock v:ext="edit" aspectratio="f"/>
                  <v:shadow on="t" color="#000000" opacity="24903f" offset="0pt,1.5748031496063pt" origin="0f,32768f" matrix="65536f,0f,0f,65536f"/>
                </v:shape>
                <v:line id="_x0000_s1026" o:spid="_x0000_s1026" o:spt="20" style="position:absolute;left:8117;top:61211;height:15;width:4447;" filled="f" stroked="t" coordsize="21600,21600" o:gfxdata="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x7h26+AAAA2wAAAA8AAAAAAAAAAQAgAAAAOAAAAGRycy9kb3ducmV2&#10;LnhtbFBLAQIUABQAAAAIAIdO4kAzLwWeOwAAADkAAAAQAAAAAAAAAAEAIAAAACMBAABkcnMvc2hh&#10;cGV4bWwueG1sUEsFBgAAAAAGAAYAWwEAAM0DAAAAAA==&#10;">
                  <v:fill on="f" focussize="0,0"/>
                  <v:stroke weight="1.5pt" color="#000000" joinstyle="round"/>
                  <v:imagedata o:title=""/>
                  <o:lock v:ext="edit" aspectratio="f"/>
                  <v:shadow on="t" color="#000000" opacity="24903f" offset="0pt,1.5748031496063pt" origin="0f,32768f" matrix="65536f,0f,0f,65536f"/>
                </v:line>
                <v:shape id="_x0000_s1026" o:spid="_x0000_s1026" o:spt="32" type="#_x0000_t32" style="position:absolute;left:8139;top:61218;flip:x;height:430;width:7;" filled="f" stroked="t" coordsize="21600,21600" o:gfxdata="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jVP+4AAAA2wAAAA8AAAAAAAAAAQAgAAAAOAAAAGRycy9kb3ducmV2LnhtbFBL&#10;AQIUABQAAAAIAIdO4kAzLwWeOwAAADkAAAAQAAAAAAAAAAEAIAAAAB0BAABkcnMvc2hhcGV4bWwu&#10;eG1sUEsFBgAAAAAGAAYAWwEAAMcDAAAAAA==&#10;">
                  <v:fill on="f" focussize="0,0"/>
                  <v:stroke weight="2pt" color="#000000" joinstyle="round" endarrow="block"/>
                  <v:imagedata o:title=""/>
                  <o:lock v:ext="edit" aspectratio="f"/>
                  <v:shadow on="t" color="#000000" opacity="24903f" offset="0pt,1.5748031496063pt" origin="0f,32768f" matrix="65536f,0f,0f,65536f"/>
                </v:shape>
                <v:shape id="_x0000_s1026" o:spid="_x0000_s1026" o:spt="32" type="#_x0000_t32" style="position:absolute;left:12577;top:61215;height:471;width:15;" filled="f" stroked="t" coordsize="21600,21600" o:gfxdata="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y4LkvAAAANsAAAAPAAAAAAAAAAEAIAAAADgAAABkcnMvZG93bnJldi54&#10;bWxQSwECFAAUAAAACACHTuJAMy8FnjsAAAA5AAAAEAAAAAAAAAABACAAAAAhAQAAZHJzL3NoYXBl&#10;eG1sLnhtbFBLBQYAAAAABgAGAFsBAADLAwAAAAA=&#10;">
                  <v:fill on="f" focussize="0,0"/>
                  <v:stroke weight="2pt" color="#000000" joinstyle="round" endarrow="block"/>
                  <v:imagedata o:title=""/>
                  <o:lock v:ext="edit" aspectratio="f"/>
                  <v:shadow on="t" color="#000000" opacity="24903f" offset="0pt,1.5748031496063pt" origin="0f,32768f" matrix="65536f,0f,0f,65536f"/>
                </v:shape>
                <v:roundrect id="_x0000_s1026" o:spid="_x0000_s1026" o:spt="2" style="position:absolute;left:4907;top:65328;height:1219;width:3978;" fillcolor="#FFFFFF" filled="t" stroked="t" coordsize="21600,21600" arcsize="0.166666666666667" o:gfxdata="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&#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A/LHvAAAANsAAAAPAAAAAAAAAAEAIAAAADgAAABkcnMvZG93bnJldi54&#10;bWxQSwECFAAUAAAACACHTuJAMy8FnjsAAAA5AAAAEAAAAAAAAAABACAAAAAhAQAAZHJzL3NoYXBl&#10;eG1sLnhtbFBLBQYAAAAABgAGAFsBAADLAwAAAAA=&#10;">
                  <v:fill on="t" focussize="0,0"/>
                  <v:stroke weight="2pt" color="#000000" joinstyle="round"/>
                  <v:imagedata o:title=""/>
                  <o:lock v:ext="edit" aspectratio="f"/>
                  <v:textbox inset="2.83456692913386pt,3.59992125984252pt,2.83456692913386pt,3.59992125984252pt">
                    <w:txbxContent>
                      <w:p>
                        <w:pPr>
                          <w:jc w:val="center"/>
                          <w:rPr>
                            <w:rFonts w:hint="eastAsia" w:eastAsia="仿宋_GB2312"/>
                            <w:lang w:eastAsia="zh-CN"/>
                          </w:rPr>
                        </w:pPr>
                        <w:r>
                          <w:rPr>
                            <w:rFonts w:hint="eastAsia" w:ascii="仿宋_GB2312" w:hAnsi="仿宋_GB2312" w:eastAsia="仿宋_GB2312" w:cs="仿宋_GB2312"/>
                            <w:color w:val="000000"/>
                            <w:kern w:val="0"/>
                            <w:sz w:val="24"/>
                            <w:szCs w:val="24"/>
                            <w:lang w:eastAsia="zh-CN" w:bidi="ar"/>
                          </w:rPr>
                          <w:t>建设内容发生变动</w:t>
                        </w:r>
                        <w:r>
                          <w:rPr>
                            <w:rFonts w:hint="eastAsia" w:ascii="仿宋_GB2312" w:hAnsi="仿宋_GB2312" w:eastAsia="仿宋_GB2312" w:cs="仿宋_GB2312"/>
                            <w:kern w:val="0"/>
                            <w:sz w:val="24"/>
                            <w:szCs w:val="24"/>
                            <w:lang w:val="en-US" w:eastAsia="zh-Hans"/>
                          </w:rPr>
                          <w:t>但</w:t>
                        </w:r>
                        <w:r>
                          <w:rPr>
                            <w:rFonts w:hint="eastAsia" w:ascii="仿宋_GB2312" w:hAnsi="仿宋_GB2312" w:eastAsia="仿宋_GB2312" w:cs="仿宋_GB2312"/>
                            <w:color w:val="000000"/>
                            <w:kern w:val="0"/>
                            <w:sz w:val="24"/>
                            <w:szCs w:val="24"/>
                            <w:lang w:eastAsia="zh-CN" w:bidi="ar"/>
                          </w:rPr>
                          <w:t>未突破《方案》实施条件，</w:t>
                        </w:r>
                        <w:r>
                          <w:rPr>
                            <w:rFonts w:hint="eastAsia" w:hAnsi="仿宋_GB2312" w:eastAsia="仿宋_GB2312" w:cs="仿宋_GB2312"/>
                            <w:color w:val="000000"/>
                            <w:kern w:val="0"/>
                            <w:sz w:val="24"/>
                            <w:szCs w:val="24"/>
                            <w:lang w:eastAsia="zh-CN" w:bidi="ar"/>
                          </w:rPr>
                          <w:t>重新申领</w:t>
                        </w:r>
                        <w:r>
                          <w:rPr>
                            <w:rFonts w:hint="eastAsia" w:hAnsi="仿宋_GB2312" w:eastAsia="仿宋_GB2312" w:cs="仿宋_GB2312"/>
                            <w:color w:val="000000"/>
                            <w:kern w:val="0"/>
                            <w:sz w:val="24"/>
                            <w:szCs w:val="24"/>
                            <w:lang w:val="en-US" w:eastAsia="zh-CN" w:bidi="ar"/>
                          </w:rPr>
                          <w:t>/</w:t>
                        </w:r>
                        <w:r>
                          <w:rPr>
                            <w:rFonts w:hint="eastAsia" w:hAnsi="仿宋_GB2312" w:eastAsia="仿宋_GB2312" w:cs="仿宋_GB2312"/>
                            <w:color w:val="000000"/>
                            <w:kern w:val="0"/>
                            <w:sz w:val="24"/>
                            <w:szCs w:val="24"/>
                            <w:lang w:eastAsia="zh-CN" w:bidi="ar"/>
                          </w:rPr>
                          <w:t>变更</w:t>
                        </w:r>
                        <w:r>
                          <w:rPr>
                            <w:rFonts w:hint="eastAsia" w:ascii="仿宋_GB2312" w:hAnsi="仿宋_GB2312" w:eastAsia="仿宋_GB2312" w:cs="仿宋_GB2312"/>
                            <w:color w:val="000000"/>
                            <w:kern w:val="0"/>
                            <w:sz w:val="24"/>
                            <w:szCs w:val="24"/>
                            <w:lang w:val="en-US" w:eastAsia="zh-CN" w:bidi="ar"/>
                          </w:rPr>
                          <w:t>排污许可</w:t>
                        </w:r>
                        <w:r>
                          <w:rPr>
                            <w:rFonts w:hint="eastAsia" w:hAnsi="仿宋_GB2312" w:eastAsia="仿宋_GB2312" w:cs="仿宋_GB2312"/>
                            <w:color w:val="000000"/>
                            <w:kern w:val="0"/>
                            <w:sz w:val="24"/>
                            <w:szCs w:val="24"/>
                            <w:lang w:val="en-US" w:eastAsia="zh-CN" w:bidi="ar"/>
                          </w:rPr>
                          <w:t>证</w:t>
                        </w:r>
                        <w:r>
                          <w:rPr>
                            <w:rFonts w:hint="eastAsia" w:ascii="仿宋_GB2312" w:hAnsi="仿宋_GB2312" w:eastAsia="仿宋_GB2312" w:cs="仿宋_GB2312"/>
                            <w:color w:val="000000"/>
                            <w:kern w:val="0"/>
                            <w:sz w:val="24"/>
                            <w:szCs w:val="24"/>
                            <w:lang w:val="en-US" w:eastAsia="zh-CN" w:bidi="ar"/>
                          </w:rPr>
                          <w:t>或进行排污登记</w:t>
                        </w:r>
                        <w:r>
                          <w:rPr>
                            <w:rFonts w:hint="eastAsia" w:hAnsi="仿宋_GB2312" w:eastAsia="仿宋_GB2312" w:cs="仿宋_GB2312"/>
                            <w:color w:val="000000"/>
                            <w:kern w:val="0"/>
                            <w:sz w:val="24"/>
                            <w:szCs w:val="24"/>
                            <w:lang w:val="en-US" w:eastAsia="zh-CN" w:bidi="ar"/>
                          </w:rPr>
                          <w:t>信息变更</w:t>
                        </w:r>
                      </w:p>
                    </w:txbxContent>
                  </v:textbox>
                </v:roundrect>
                <v:shape id="_x0000_s1026" o:spid="_x0000_s1026" o:spt="32" type="#_x0000_t32" style="position:absolute;left:8186;top:64336;height:516;width:0;" filled="f" stroked="t" coordsize="21600,21600" o:gfxdata="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&#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xVuQi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shape id="_x0000_s1026" o:spid="_x0000_s1026" o:spt="32" type="#_x0000_t32" style="position:absolute;left:8181;top:62627;height:387;width:0;" filled="f" stroked="t" coordsize="21600,21600" o:gfxdata="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&#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O8IXy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line id="_x0000_s1026" o:spid="_x0000_s1026" o:spt="20" style="position:absolute;left:6408;top:64866;flip:y;height:14;width:4476;" filled="f" stroked="t" coordsize="21600,21600" o:gfxdata="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U7UK+AAAA2wAAAA8AAAAAAAAAAQAgAAAAOAAAAGRycy9kb3ducmV2&#10;LnhtbFBLAQIUABQAAAAIAIdO4kAzLwWeOwAAADkAAAAQAAAAAAAAAAEAIAAAACMBAABkcnMvc2hh&#10;cGV4bWwueG1sUEsFBgAAAAAGAAYAWwEAAM0DAAAAAA==&#10;">
                  <v:fill on="f" focussize="0,0"/>
                  <v:stroke weight="1.5pt" color="#000000" joinstyle="round"/>
                  <v:imagedata o:title=""/>
                  <o:lock v:ext="edit" aspectratio="f"/>
                  <v:shadow on="t" color="#000000" opacity="24903f" offset="0pt,1.5748031496063pt" origin="0f,32768f" matrix="65536f,0f,0f,65536f"/>
                </v:line>
                <v:shape id="_x0000_s1026" o:spid="_x0000_s1026" o:spt="32" type="#_x0000_t32" style="position:absolute;left:6411;top:64858;height:420;width:3;" filled="f" stroked="t" coordsize="21600,21600" o:gfxdata="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CIakL0AAADbAAAADwAAAAAAAAABACAAAAA4AAAAZHJzL2Rvd25yZXYu&#10;eG1sUEsBAhQAFAAAAAgAh07iQDMvBZ47AAAAOQAAABAAAAAAAAAAAQAgAAAAIgEAAGRycy9zaGFw&#10;ZXhtbC54bWxQSwUGAAAAAAYABgBbAQAAzAMAAAAA&#10;">
                  <v:fill on="f" focussize="0,0"/>
                  <v:stroke weight="2pt" color="#000000" joinstyle="round" endarrow="block"/>
                  <v:imagedata o:title=""/>
                  <o:lock v:ext="edit" aspectratio="f"/>
                  <v:shadow on="t" color="#000000" opacity="24903f" offset="0pt,1.5748031496063pt" origin="0f,32768f" matrix="65536f,0f,0f,65536f"/>
                </v:shape>
                <v:shape id="_x0000_s1026" o:spid="_x0000_s1026" o:spt="32" type="#_x0000_t32" style="position:absolute;left:10854;top:64873;flip:x;height:435;width:7;" filled="f" stroked="t" coordsize="21600,21600" o:gfxdata="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BKzIu7AAAA2wAAAA8AAAAAAAAAAQAgAAAAOAAAAGRycy9kb3ducmV2Lnht&#10;bFBLAQIUABQAAAAIAIdO4kAzLwWeOwAAADkAAAAQAAAAAAAAAAEAIAAAACABAABkcnMvc2hhcGV4&#10;bWwueG1sUEsFBgAAAAAGAAYAWwEAAMoDAAAAAA==&#10;">
                  <v:fill on="f" focussize="0,0"/>
                  <v:stroke weight="2pt" color="#000000" joinstyle="round" endarrow="block"/>
                  <v:imagedata o:title=""/>
                  <o:lock v:ext="edit" aspectratio="f"/>
                  <v:shadow on="t" color="#000000" opacity="24903f" offset="0pt,1.5748031496063pt" origin="0f,32768f" matrix="65536f,0f,0f,65536f"/>
                </v:shape>
                <v:roundrect id="_x0000_s1026" o:spid="_x0000_s1026" o:spt="2" style="position:absolute;left:6336;top:61658;height:950;width:3814;" fillcolor="#FFFFFF" filled="t" stroked="t" coordsize="21600,21600" arcsize="0.166666666666667" o:gfxdata="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&#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r68UtuQAAANsAAAAPAAAAAAAAAAEAIAAAADgAAABkcnMvZG93bnJldi54bWxQ&#10;SwECFAAUAAAACACHTuJAMy8FnjsAAAA5AAAAEAAAAAAAAAABACAAAAAeAQAAZHJzL3NoYXBleG1s&#10;LnhtbFBLBQYAAAAABgAGAFsBAADIAwAAAAA=&#10;">
                  <v:fill on="t" focussize="0,0"/>
                  <v:stroke weight="2pt" color="#000000" joinstyle="round"/>
                  <v:imagedata o:title=""/>
                  <o:lock v:ext="edit" aspectratio="f"/>
                  <v:textbox inset="2.83456692913386pt,3.59992125984252pt,2.83456692913386pt,3.59992125984252pt">
                    <w:txbxContent>
                      <w:p>
                        <w:pPr>
                          <w:jc w:val="center"/>
                          <w:rPr>
                            <w:rFonts w:hint="eastAsia"/>
                            <w:lang w:eastAsia="zh-CN"/>
                          </w:rPr>
                        </w:pPr>
                        <w:r>
                          <w:rPr>
                            <w:rFonts w:hint="eastAsia" w:ascii="仿宋_GB2312" w:hAnsi="仿宋_GB2312" w:eastAsia="仿宋_GB2312" w:cs="仿宋_GB2312"/>
                            <w:kern w:val="0"/>
                            <w:sz w:val="24"/>
                            <w:szCs w:val="24"/>
                            <w:lang w:val="en-US" w:eastAsia="zh-CN"/>
                          </w:rPr>
                          <w:t>申报材料经审查符合要求的，</w:t>
                        </w:r>
                        <w:r>
                          <w:rPr>
                            <w:rFonts w:hint="eastAsia" w:hAnsi="仿宋_GB2312" w:eastAsia="仿宋_GB2312" w:cs="仿宋_GB2312"/>
                            <w:kern w:val="0"/>
                            <w:sz w:val="24"/>
                            <w:szCs w:val="24"/>
                            <w:lang w:val="en-US" w:eastAsia="zh-CN"/>
                          </w:rPr>
                          <w:t>予以</w:t>
                        </w:r>
                        <w:r>
                          <w:rPr>
                            <w:rFonts w:hint="eastAsia" w:ascii="仿宋_GB2312" w:hAnsi="仿宋_GB2312" w:eastAsia="仿宋_GB2312" w:cs="仿宋_GB2312"/>
                            <w:kern w:val="0"/>
                            <w:sz w:val="24"/>
                            <w:szCs w:val="24"/>
                            <w:lang w:val="en-US" w:eastAsia="zh-CN"/>
                          </w:rPr>
                          <w:t>核发排污许可证</w:t>
                        </w:r>
                      </w:p>
                    </w:txbxContent>
                  </v:textbox>
                </v:roundrect>
                <v:roundrect id="_x0000_s1026" o:spid="_x0000_s1026" o:spt="2" style="position:absolute;left:10840;top:61725;height:949;width:3560;" fillcolor="#FFFFFF" filled="t" stroked="t" coordsize="21600,21600" arcsize="0.166666666666667" o:gfxdata="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SnYLa7AAAA2wAAAA8AAAAAAAAAAQAgAAAAOAAAAGRycy9kb3ducmV2Lnht&#10;bFBLAQIUABQAAAAIAIdO4kAzLwWeOwAAADkAAAAQAAAAAAAAAAEAIAAAACABAABkcnMvc2hhcGV4&#10;bWwueG1sUEsFBgAAAAAGAAYAWwEAAMoDAAAAAA==&#10;">
                  <v:fill on="t" focussize="0,0"/>
                  <v:stroke weight="2pt" color="#000000" joinstyle="round"/>
                  <v:imagedata o:title=""/>
                  <o:lock v:ext="edit" aspectratio="f"/>
                  <v:textbox inset="2.83456692913386pt,3.59992125984252pt,2.83456692913386pt,3.59992125984252pt">
                    <w:txbxContent>
                      <w:p>
                        <w:pPr>
                          <w:pStyle w:val="16"/>
                          <w:ind w:left="0" w:leftChars="0"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申报材料需退回修改的，退回申报材料并一次性告知修改意见</w:t>
                        </w:r>
                      </w:p>
                      <w:p>
                        <w:pPr>
                          <w:rPr>
                            <w:rFonts w:hint="eastAsia"/>
                            <w:lang w:eastAsia="zh-CN"/>
                          </w:rPr>
                        </w:pPr>
                      </w:p>
                    </w:txbxContent>
                  </v:textbox>
                </v:roundrect>
                <v:shape id="_x0000_s1026" o:spid="_x0000_s1026" o:spt="32" type="#_x0000_t32" style="position:absolute;left:6714;top:57103;flip:x;height:355;width:12;" filled="f" stroked="t" coordsize="21600,21600" o:gfxdata="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p2JNi4AAAA2wAAAA8AAAAAAAAAAQAgAAAAOAAAAGRycy9kb3ducmV2LnhtbFBL&#10;AQIUABQAAAAIAIdO4kAzLwWeOwAAADkAAAAQAAAAAAAAAAEAIAAAAB0BAABkcnMvc2hhcGV4bWwu&#10;eG1sUEsFBgAAAAAGAAYAWwEAAMcDAAAAAA==&#10;">
                  <v:fill on="f" focussize="0,0"/>
                  <v:stroke weight="2pt" color="#000000" joinstyle="round" endarrow="block"/>
                  <v:imagedata o:title=""/>
                  <o:lock v:ext="edit" aspectratio="f"/>
                  <v:shadow on="t" color="#000000" opacity="24903f" offset="0pt,1.5748031496063pt" origin="0f,32768f" matrix="65536f,0f,0f,65536f"/>
                </v:shape>
                <v:roundrect id="_x0000_s1026" o:spid="_x0000_s1026" o:spt="2" style="position:absolute;left:5119;top:57494;height:1548;width:2917;" fillcolor="#FFFFFF" filled="t" stroked="t" coordsize="21600,21600" arcsize="0.166666666666667" o:gfxdata="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8EHJe7AAAA2wAAAA8AAAAAAAAAAQAgAAAAOAAAAGRycy9kb3ducmV2Lnht&#10;bFBLAQIUABQAAAAIAIdO4kAzLwWeOwAAADkAAAAQAAAAAAAAAAEAIAAAACABAABkcnMvc2hhcGV4&#10;bWwueG1sUEsFBgAAAAAGAAYAWwEAAMoDAAAAAA==&#10;">
                  <v:fill on="t" focussize="0,0"/>
                  <v:stroke weight="2pt" color="#000000" joinstyle="round"/>
                  <v:imagedata o:title=""/>
                  <o:lock v:ext="edit" aspectratio="f"/>
                  <v:textbox inset="2.83456692913386pt,3.59992125984252pt,2.83456692913386pt,3.59992125984252pt">
                    <w:txbxContent>
                      <w:p>
                        <w:pPr>
                          <w:jc w:val="center"/>
                          <w:rPr>
                            <w:rFonts w:hint="eastAsia" w:eastAsia="仿宋_GB2312"/>
                            <w:sz w:val="24"/>
                            <w:szCs w:val="24"/>
                            <w:lang w:eastAsia="zh-CN"/>
                          </w:rPr>
                        </w:pPr>
                        <w:r>
                          <w:rPr>
                            <w:rFonts w:hint="eastAsia" w:ascii="仿宋_GB2312" w:hAnsi="仿宋_GB2312" w:eastAsia="仿宋_GB2312" w:cs="仿宋_GB2312"/>
                            <w:color w:val="000000"/>
                            <w:kern w:val="0"/>
                            <w:sz w:val="24"/>
                            <w:szCs w:val="24"/>
                            <w:lang w:bidi="ar"/>
                          </w:rPr>
                          <w:t>属于</w:t>
                        </w:r>
                        <w:r>
                          <w:rPr>
                            <w:rFonts w:hint="eastAsia" w:ascii="仿宋_GB2312" w:hAnsi="仿宋_GB2312" w:eastAsia="仿宋_GB2312" w:cs="仿宋_GB2312"/>
                            <w:color w:val="000000"/>
                            <w:kern w:val="0"/>
                            <w:sz w:val="24"/>
                            <w:szCs w:val="24"/>
                            <w:lang w:eastAsia="zh-CN" w:bidi="ar"/>
                          </w:rPr>
                          <w:t>试点行业范围但不符合生态环境分区管控要求的，提出优化调整项目建设内容或重新选址意见</w:t>
                        </w:r>
                      </w:p>
                    </w:txbxContent>
                  </v:textbox>
                </v:roundrect>
                <v:roundrect id="_x0000_s1026" o:spid="_x0000_s1026" o:spt="2" style="position:absolute;left:6124;top:63024;height:1276;width:4055;" fillcolor="#FFFFFF" filled="t" stroked="t" coordsize="21600,21600" arcsize="0.166666666666667" o:gfxdata="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1oLgvAAAANsAAAAPAAAAAAAAAAEAIAAAADgAAABkcnMvZG93bnJldi54&#10;bWxQSwECFAAUAAAACACHTuJAMy8FnjsAAAA5AAAAEAAAAAAAAAABACAAAAAhAQAAZHJzL3NoYXBl&#10;eG1sLnhtbFBLBQYAAAAABgAGAFsBAADLAwAAAAA=&#10;">
                  <v:fill on="t" focussize="0,0"/>
                  <v:stroke weight="2pt" color="#000000" joinstyle="round"/>
                  <v:imagedata o:title=""/>
                  <o:lock v:ext="edit" aspectratio="f"/>
                  <v:textbox inset="2.83456692913386pt,3.59992125984252pt,2.83456692913386pt,3.59992125984252pt">
                    <w:txbxContent>
                      <w:p>
                        <w:pPr>
                          <w:jc w:val="center"/>
                          <w:rPr>
                            <w:rFonts w:hint="eastAsia"/>
                            <w:sz w:val="24"/>
                            <w:lang w:eastAsia="zh-CN"/>
                          </w:rPr>
                        </w:pPr>
                        <w:r>
                          <w:rPr>
                            <w:rFonts w:hint="eastAsia" w:ascii="仿宋_GB2312" w:hAnsi="仿宋_GB2312" w:eastAsia="仿宋_GB2312" w:cs="仿宋_GB2312"/>
                            <w:kern w:val="0"/>
                            <w:sz w:val="24"/>
                            <w:szCs w:val="24"/>
                            <w:lang w:val="en-US" w:eastAsia="zh-CN"/>
                          </w:rPr>
                          <w:t>开工建设，在</w:t>
                        </w:r>
                        <w:r>
                          <w:rPr>
                            <w:rFonts w:hint="eastAsia" w:ascii="仿宋_GB2312" w:hAnsi="仿宋_GB2312" w:eastAsia="仿宋_GB2312" w:cs="仿宋_GB2312"/>
                            <w:kern w:val="0"/>
                            <w:sz w:val="24"/>
                            <w:szCs w:val="24"/>
                            <w:lang w:val="en-US" w:eastAsia="zh-Hans"/>
                          </w:rPr>
                          <w:t>项目</w:t>
                        </w:r>
                        <w:r>
                          <w:rPr>
                            <w:rFonts w:hint="eastAsia" w:ascii="仿宋_GB2312" w:hAnsi="仿宋_GB2312" w:eastAsia="仿宋_GB2312" w:cs="仿宋_GB2312"/>
                            <w:kern w:val="0"/>
                            <w:sz w:val="24"/>
                            <w:szCs w:val="24"/>
                            <w:lang w:val="en-US" w:eastAsia="zh-CN"/>
                          </w:rPr>
                          <w:t>建设期、建成后投产前，属地县区级生态环境局至少分别开展现场帮扶1次</w:t>
                        </w:r>
                      </w:p>
                    </w:txbxContent>
                  </v:textbox>
                </v:roundrect>
              </v:group>
            </w:pict>
          </mc:Fallback>
        </mc:AlternateContent>
      </w:r>
    </w:p>
    <w:p>
      <w:pPr>
        <w:rPr>
          <w:rFonts w:hint="eastAsia" w:eastAsia="宋体"/>
          <w:color w:val="000000" w:themeColor="text1"/>
          <w:szCs w:val="21"/>
          <w:lang w:eastAsia="zh-CN"/>
          <w14:textFill>
            <w14:solidFill>
              <w14:schemeClr w14:val="tx1"/>
            </w14:solidFill>
          </w14:textFill>
        </w:rPr>
      </w:pPr>
    </w:p>
    <w:p>
      <w:pPr>
        <w:pStyle w:val="16"/>
        <w:rPr>
          <w:rFonts w:hint="eastAsia"/>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ind w:firstLine="0" w:firstLineChars="0"/>
        <w:rPr>
          <w:rFonts w:hint="eastAsia" w:ascii="Times New Roman" w:hAnsi="Times New Roman" w:eastAsia="黑体" w:cs="Times New Roman"/>
          <w:color w:val="000000" w:themeColor="text1"/>
          <w:sz w:val="32"/>
          <w:szCs w:val="36"/>
          <w:lang w:eastAsia="zh-CN"/>
          <w14:textFill>
            <w14:solidFill>
              <w14:schemeClr w14:val="tx1"/>
            </w14:solidFill>
          </w14:textFill>
        </w:rPr>
      </w:pPr>
    </w:p>
    <w:p>
      <w:pPr>
        <w:spacing w:line="600" w:lineRule="exact"/>
        <w:ind w:firstLine="0" w:firstLineChars="0"/>
        <w:rPr>
          <w:rFonts w:hint="eastAsia" w:ascii="Times New Roman" w:hAnsi="Times New Roman" w:eastAsia="黑体" w:cs="Times New Roman"/>
          <w:color w:val="000000" w:themeColor="text1"/>
          <w:sz w:val="32"/>
          <w:szCs w:val="36"/>
          <w:lang w:eastAsia="zh-CN"/>
          <w14:textFill>
            <w14:solidFill>
              <w14:schemeClr w14:val="tx1"/>
            </w14:solidFill>
          </w14:textFill>
        </w:rPr>
      </w:pPr>
    </w:p>
    <w:p>
      <w:pPr>
        <w:adjustRightInd w:val="0"/>
        <w:snapToGrid w:val="0"/>
        <w:spacing w:line="560" w:lineRule="exact"/>
        <w:jc w:val="left"/>
        <w:rPr>
          <w:rFonts w:hint="eastAsia" w:ascii="方正公文黑体" w:hAnsi="方正公文黑体" w:eastAsia="方正公文黑体" w:cs="方正公文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附件3 </w:t>
      </w:r>
      <w:r>
        <w:rPr>
          <w:rFonts w:hint="eastAsia" w:ascii="方正公文黑体" w:hAnsi="方正公文黑体" w:eastAsia="方正公文黑体" w:cs="方正公文黑体"/>
          <w:color w:val="000000" w:themeColor="text1"/>
          <w:sz w:val="32"/>
          <w:szCs w:val="32"/>
          <w:lang w:val="en-US" w:eastAsia="zh-CN"/>
          <w14:textFill>
            <w14:solidFill>
              <w14:schemeClr w14:val="tx1"/>
            </w14:solidFill>
          </w14:textFill>
        </w:rPr>
        <w:t xml:space="preserve">                </w:t>
      </w:r>
    </w:p>
    <w:p>
      <w:pPr>
        <w:adjustRightInd w:val="0"/>
        <w:snapToGrid w:val="0"/>
        <w:spacing w:line="560" w:lineRule="exact"/>
        <w:ind w:firstLine="3600" w:firstLineChars="1000"/>
        <w:jc w:val="left"/>
        <w:rPr>
          <w:rFonts w:hint="eastAsia" w:ascii="方正小标宋简体" w:eastAsia="方正小标宋简体"/>
          <w:color w:val="000000" w:themeColor="text1"/>
          <w:sz w:val="36"/>
          <w:szCs w:val="36"/>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kern w:val="2"/>
          <w:sz w:val="36"/>
          <w:szCs w:val="36"/>
          <w:lang w:val="en-US" w:eastAsia="zh-CN"/>
          <w14:textFill>
            <w14:solidFill>
              <w14:schemeClr w14:val="tx1"/>
            </w14:solidFill>
          </w14:textFill>
        </w:rPr>
        <w:t>申 请 函</w:t>
      </w:r>
    </w:p>
    <w:p>
      <w:pPr>
        <w:keepNext w:val="0"/>
        <w:keepLines w:val="0"/>
        <w:pageBreakBefore w:val="0"/>
        <w:widowControl w:val="0"/>
        <w:kinsoku/>
        <w:wordWrap/>
        <w:overflowPunct/>
        <w:topLinePunct w:val="0"/>
        <w:autoSpaceDE/>
        <w:autoSpaceDN/>
        <w:bidi w:val="0"/>
        <w:adjustRightInd/>
        <w:spacing w:line="540" w:lineRule="exact"/>
        <w:ind w:firstLine="0" w:firstLineChars="0"/>
        <w:jc w:val="center"/>
        <w:textAlignment w:val="auto"/>
        <w:rPr>
          <w:rFonts w:hint="eastAsia" w:eastAsia="方正小标宋简体"/>
          <w:color w:val="000000" w:themeColor="text1"/>
          <w:sz w:val="44"/>
          <w:szCs w:val="44"/>
          <w:lang w:val="en-US" w:eastAsia="zh-CN"/>
          <w14:textFill>
            <w14:solidFill>
              <w14:schemeClr w14:val="tx1"/>
            </w14:solidFill>
          </w14:textFill>
        </w:rPr>
      </w:pPr>
      <w:r>
        <w:rPr>
          <w:rFonts w:hint="eastAsia" w:eastAsia="方正小标宋简体"/>
          <w:color w:val="000000" w:themeColor="text1"/>
          <w:sz w:val="36"/>
          <w:szCs w:val="36"/>
          <w:lang w:val="en-US" w:eastAsia="zh-CN"/>
          <w14:textFill>
            <w14:solidFill>
              <w14:schemeClr w14:val="tx1"/>
            </w14:solidFill>
          </w14:textFill>
        </w:rPr>
        <w:t>关于XX项目申请</w:t>
      </w:r>
      <w:r>
        <w:rPr>
          <w:rFonts w:hint="eastAsia" w:eastAsia="方正小标宋简体"/>
          <w:color w:val="000000" w:themeColor="text1"/>
          <w:sz w:val="36"/>
          <w:szCs w:val="36"/>
          <w:lang w:val="en-US" w:eastAsia="zh-Hans"/>
          <w14:textFill>
            <w14:solidFill>
              <w14:schemeClr w14:val="tx1"/>
            </w14:solidFill>
          </w14:textFill>
        </w:rPr>
        <w:t>取消项目环评</w:t>
      </w:r>
      <w:r>
        <w:rPr>
          <w:rFonts w:hint="eastAsia" w:eastAsia="方正小标宋简体"/>
          <w:color w:val="000000" w:themeColor="text1"/>
          <w:sz w:val="36"/>
          <w:szCs w:val="36"/>
          <w:lang w:val="en-US" w:eastAsia="zh-CN"/>
          <w14:textFill>
            <w14:solidFill>
              <w14:schemeClr w14:val="tx1"/>
            </w14:solidFill>
          </w14:textFill>
        </w:rPr>
        <w:t>的函</w:t>
      </w:r>
    </w:p>
    <w:p>
      <w:pPr>
        <w:keepNext w:val="0"/>
        <w:keepLines w:val="0"/>
        <w:pageBreakBefore w:val="0"/>
        <w:widowControl w:val="0"/>
        <w:kinsoku/>
        <w:wordWrap/>
        <w:overflowPunct/>
        <w:topLinePunct w:val="0"/>
        <w:autoSpaceDE/>
        <w:autoSpaceDN/>
        <w:bidi w:val="0"/>
        <w:adjustRightInd/>
        <w:spacing w:line="540" w:lineRule="exact"/>
        <w:ind w:firstLine="0" w:firstLineChars="0"/>
        <w:jc w:val="both"/>
        <w:textAlignment w:val="auto"/>
        <w:rPr>
          <w:rFonts w:hint="eastAsia" w:hAnsi="仿宋_GB2312" w:eastAsia="仿宋_GB2312" w:cs="仿宋_GB2312"/>
          <w:color w:val="000000" w:themeColor="text1"/>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40" w:lineRule="exact"/>
        <w:ind w:firstLine="0" w:firstLineChars="0"/>
        <w:jc w:val="both"/>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XX生态环境局：</w:t>
      </w: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我司XX项目拟落地XXXX，项目基本信息详见附件，符合《莆田市优化环境影响评价分类管理试点实施方案》相关要求，现申请取消项目环评,并在开工建设前办理排污许可手续。</w:t>
      </w: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我司承诺严格遵守各项法律法规，自觉落实环境保护主体责任。本项目不存在“未批先建”等环境违法行为，我司将严格按照申请项目所列性质、规模、地点、生产工艺等信息进行项目建设和生产经营。项目所需的用地、用房等均依法获得，若存在违法行为隐瞒不报的，我司自觉接受相关部门的查处。</w:t>
      </w:r>
    </w:p>
    <w:p>
      <w:pPr>
        <w:pStyle w:val="2"/>
        <w:spacing w:line="54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附件：项目基本信息表</w:t>
      </w: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                        申请单位（盖章）：</w:t>
      </w:r>
    </w:p>
    <w:p>
      <w:pPr>
        <w:pStyle w:val="2"/>
        <w:keepNext w:val="0"/>
        <w:keepLines w:val="0"/>
        <w:pageBreakBefore w:val="0"/>
        <w:widowControl w:val="0"/>
        <w:kinsoku/>
        <w:wordWrap/>
        <w:overflowPunct/>
        <w:topLinePunct w:val="0"/>
        <w:autoSpaceDE/>
        <w:autoSpaceDN/>
        <w:bidi w:val="0"/>
        <w:adjustRightInd/>
        <w:spacing w:line="540" w:lineRule="exact"/>
        <w:ind w:firstLine="3750" w:firstLineChars="1250"/>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申请日期：  年   月   日</w:t>
      </w:r>
    </w:p>
    <w:p>
      <w:pP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3"/>
        <w:rPr>
          <w:rFonts w:hint="eastAsia"/>
          <w:color w:val="000000" w:themeColor="text1"/>
          <w:lang w:eastAsia="zh-CN"/>
          <w14:textFill>
            <w14:solidFill>
              <w14:schemeClr w14:val="tx1"/>
            </w14:solidFill>
          </w14:textFill>
        </w:rPr>
      </w:pPr>
    </w:p>
    <w:p>
      <w:pPr>
        <w:spacing w:line="560" w:lineRule="exact"/>
        <w:ind w:firstLine="0" w:firstLineChars="0"/>
        <w:jc w:val="both"/>
        <w:rPr>
          <w:rFonts w:hint="eastAsia" w:ascii="方正小标宋简体" w:eastAsia="方正小标宋简体"/>
          <w:color w:val="000000" w:themeColor="text1"/>
          <w:sz w:val="32"/>
          <w:szCs w:val="32"/>
          <w:lang w:eastAsia="zh-CN"/>
          <w14:textFill>
            <w14:solidFill>
              <w14:schemeClr w14:val="tx1"/>
            </w14:solidFill>
          </w14:textFill>
        </w:rPr>
      </w:pPr>
    </w:p>
    <w:p>
      <w:pPr>
        <w:spacing w:line="560" w:lineRule="exact"/>
        <w:ind w:firstLine="3200" w:firstLineChars="1000"/>
        <w:jc w:val="both"/>
        <w:rPr>
          <w:rFonts w:hint="eastAsia" w:ascii="方正小标宋简体" w:eastAsia="方正小标宋简体"/>
          <w:color w:val="000000" w:themeColor="text1"/>
          <w:sz w:val="36"/>
          <w:szCs w:val="36"/>
          <w:lang w:eastAsia="zh-CN"/>
          <w14:textFill>
            <w14:solidFill>
              <w14:schemeClr w14:val="tx1"/>
            </w14:solidFill>
          </w14:textFill>
        </w:rPr>
      </w:pPr>
      <w:r>
        <w:rPr>
          <w:rFonts w:hint="eastAsia" w:ascii="方正小标宋简体" w:eastAsia="方正小标宋简体"/>
          <w:color w:val="000000" w:themeColor="text1"/>
          <w:sz w:val="32"/>
          <w:szCs w:val="32"/>
          <w:lang w:eastAsia="zh-CN"/>
          <w14:textFill>
            <w14:solidFill>
              <w14:schemeClr w14:val="tx1"/>
            </w14:solidFill>
          </w14:textFill>
        </w:rPr>
        <w:t>项目基本信息表</w:t>
      </w:r>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1219"/>
        <w:gridCol w:w="979"/>
        <w:gridCol w:w="364"/>
        <w:gridCol w:w="490"/>
        <w:gridCol w:w="853"/>
        <w:gridCol w:w="491"/>
        <w:gridCol w:w="85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6" w:type="dxa"/>
            <w:vAlign w:val="top"/>
          </w:tcPr>
          <w:p>
            <w:pPr>
              <w:spacing w:line="360" w:lineRule="exact"/>
              <w:jc w:val="center"/>
              <w:rPr>
                <w:rFonts w:hint="eastAsia" w:ascii="仿宋_GB2312" w:hAnsi="仿宋" w:eastAsia="仿宋_GB2312" w:cs="Arial"/>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建设单位</w:t>
            </w:r>
            <w:r>
              <w:rPr>
                <w:rFonts w:hint="eastAsia" w:hAnsi="仿宋" w:eastAsia="仿宋_GB2312"/>
                <w:color w:val="000000" w:themeColor="text1"/>
                <w:sz w:val="30"/>
                <w:szCs w:val="30"/>
                <w:lang w:eastAsia="zh-CN"/>
                <w14:textFill>
                  <w14:solidFill>
                    <w14:schemeClr w14:val="tx1"/>
                  </w14:solidFill>
                </w14:textFill>
              </w:rPr>
              <w:t>（盖章）</w:t>
            </w:r>
          </w:p>
        </w:tc>
        <w:tc>
          <w:tcPr>
            <w:tcW w:w="6595" w:type="dxa"/>
            <w:gridSpan w:val="8"/>
            <w:tcBorders>
              <w:left w:val="nil"/>
            </w:tcBorders>
            <w:vAlign w:val="top"/>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6" w:type="dxa"/>
            <w:vAlign w:val="top"/>
          </w:tcPr>
          <w:p>
            <w:pPr>
              <w:spacing w:line="360" w:lineRule="exact"/>
              <w:jc w:val="center"/>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项目名称</w:t>
            </w:r>
          </w:p>
        </w:tc>
        <w:tc>
          <w:tcPr>
            <w:tcW w:w="6595" w:type="dxa"/>
            <w:gridSpan w:val="8"/>
            <w:tcBorders>
              <w:left w:val="nil"/>
            </w:tcBorders>
            <w:vAlign w:val="top"/>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6" w:type="dxa"/>
            <w:vAlign w:val="top"/>
          </w:tcPr>
          <w:p>
            <w:pPr>
              <w:spacing w:line="360" w:lineRule="exact"/>
              <w:jc w:val="center"/>
              <w:rPr>
                <w:rFonts w:hint="eastAsia" w:ascii="仿宋_GB2312" w:hAnsi="仿宋" w:eastAsia="仿宋_GB2312"/>
                <w:color w:val="000000" w:themeColor="text1"/>
                <w:sz w:val="30"/>
                <w:szCs w:val="30"/>
                <w:lang w:val="en" w:eastAsia="zh-CN"/>
                <w14:textFill>
                  <w14:solidFill>
                    <w14:schemeClr w14:val="tx1"/>
                  </w14:solidFill>
                </w14:textFill>
              </w:rPr>
            </w:pPr>
            <w:r>
              <w:rPr>
                <w:rFonts w:hint="eastAsia" w:hAnsi="仿宋" w:eastAsia="仿宋_GB2312"/>
                <w:color w:val="000000" w:themeColor="text1"/>
                <w:sz w:val="30"/>
                <w:szCs w:val="30"/>
                <w:lang w:val="en" w:eastAsia="zh-CN"/>
                <w14:textFill>
                  <w14:solidFill>
                    <w14:schemeClr w14:val="tx1"/>
                  </w14:solidFill>
                </w14:textFill>
              </w:rPr>
              <w:t>项目性质</w:t>
            </w:r>
          </w:p>
        </w:tc>
        <w:tc>
          <w:tcPr>
            <w:tcW w:w="6595" w:type="dxa"/>
            <w:gridSpan w:val="8"/>
            <w:tcBorders>
              <w:left w:val="nil"/>
            </w:tcBorders>
            <w:vAlign w:val="top"/>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6" w:type="dxa"/>
            <w:vAlign w:val="top"/>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建设地点</w:t>
            </w:r>
          </w:p>
        </w:tc>
        <w:tc>
          <w:tcPr>
            <w:tcW w:w="6595" w:type="dxa"/>
            <w:gridSpan w:val="8"/>
            <w:tcBorders>
              <w:left w:val="nil"/>
            </w:tcBorders>
            <w:vAlign w:val="top"/>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36" w:type="dxa"/>
            <w:vAlign w:val="center"/>
          </w:tcPr>
          <w:p>
            <w:pPr>
              <w:spacing w:line="360" w:lineRule="exact"/>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hAnsi="仿宋" w:eastAsia="仿宋_GB2312"/>
                <w:color w:val="000000" w:themeColor="text1"/>
                <w:sz w:val="30"/>
                <w:szCs w:val="30"/>
                <w:lang w:eastAsia="zh-CN"/>
                <w14:textFill>
                  <w14:solidFill>
                    <w14:schemeClr w14:val="tx1"/>
                  </w14:solidFill>
                </w14:textFill>
              </w:rPr>
              <w:t>建设内容及规模</w:t>
            </w:r>
          </w:p>
        </w:tc>
        <w:tc>
          <w:tcPr>
            <w:tcW w:w="6595" w:type="dxa"/>
            <w:gridSpan w:val="8"/>
            <w:tcBorders>
              <w:left w:val="nil"/>
            </w:tcBorders>
            <w:vAlign w:val="center"/>
          </w:tcPr>
          <w:p>
            <w:pPr>
              <w:spacing w:line="360" w:lineRule="exact"/>
              <w:jc w:val="center"/>
              <w:rPr>
                <w:rFonts w:hint="eastAsia" w:ascii="仿宋_GB2312" w:hAnsi="仿宋" w:eastAsia="仿宋_GB2312" w:cs="Arial"/>
                <w:color w:val="000000" w:themeColor="text1"/>
                <w:sz w:val="30"/>
                <w:szCs w:val="30"/>
                <w:lang w:eastAsia="zh-CN"/>
                <w14:textFill>
                  <w14:solidFill>
                    <w14:schemeClr w14:val="tx1"/>
                  </w14:solidFill>
                </w14:textFill>
              </w:rPr>
            </w:pPr>
            <w:r>
              <w:rPr>
                <w:rFonts w:hint="eastAsia" w:hAnsi="仿宋" w:eastAsia="仿宋_GB2312" w:cs="Arial"/>
                <w:color w:val="000000" w:themeColor="text1"/>
                <w:sz w:val="30"/>
                <w:szCs w:val="30"/>
                <w:lang w:eastAsia="zh-CN"/>
                <w14:textFill>
                  <w14:solidFill>
                    <w14:schemeClr w14:val="tx1"/>
                  </w14:solidFill>
                </w14:textFill>
              </w:rPr>
              <w:t>产品、规模、生产时长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36" w:type="dxa"/>
            <w:vAlign w:val="center"/>
          </w:tcPr>
          <w:p>
            <w:pPr>
              <w:spacing w:line="360" w:lineRule="exact"/>
              <w:jc w:val="center"/>
              <w:rPr>
                <w:rFonts w:hint="eastAsia" w:hAnsi="仿宋" w:eastAsia="仿宋_GB2312"/>
                <w:color w:val="000000" w:themeColor="text1"/>
                <w:sz w:val="30"/>
                <w:szCs w:val="30"/>
                <w:lang w:eastAsia="zh-CN"/>
                <w14:textFill>
                  <w14:solidFill>
                    <w14:schemeClr w14:val="tx1"/>
                  </w14:solidFill>
                </w14:textFill>
              </w:rPr>
            </w:pPr>
            <w:r>
              <w:rPr>
                <w:rFonts w:hint="eastAsia" w:hAnsi="仿宋" w:eastAsia="仿宋_GB2312"/>
                <w:color w:val="000000" w:themeColor="text1"/>
                <w:sz w:val="30"/>
                <w:szCs w:val="30"/>
                <w:lang w:eastAsia="zh-CN"/>
                <w14:textFill>
                  <w14:solidFill>
                    <w14:schemeClr w14:val="tx1"/>
                  </w14:solidFill>
                </w14:textFill>
              </w:rPr>
              <w:t>总投资</w:t>
            </w:r>
          </w:p>
        </w:tc>
        <w:tc>
          <w:tcPr>
            <w:tcW w:w="2198" w:type="dxa"/>
            <w:gridSpan w:val="2"/>
            <w:tcBorders>
              <w:left w:val="nil"/>
            </w:tcBorders>
            <w:vAlign w:val="center"/>
          </w:tcPr>
          <w:p>
            <w:pPr>
              <w:spacing w:line="360" w:lineRule="exact"/>
              <w:jc w:val="center"/>
              <w:rPr>
                <w:rFonts w:hint="eastAsia" w:hAnsi="仿宋" w:eastAsia="仿宋_GB2312" w:cs="Arial"/>
                <w:color w:val="000000" w:themeColor="text1"/>
                <w:sz w:val="30"/>
                <w:szCs w:val="30"/>
                <w:lang w:eastAsia="zh-CN"/>
                <w14:textFill>
                  <w14:solidFill>
                    <w14:schemeClr w14:val="tx1"/>
                  </w14:solidFill>
                </w14:textFill>
              </w:rPr>
            </w:pPr>
          </w:p>
        </w:tc>
        <w:tc>
          <w:tcPr>
            <w:tcW w:w="2198" w:type="dxa"/>
            <w:gridSpan w:val="4"/>
            <w:tcBorders>
              <w:left w:val="nil"/>
            </w:tcBorders>
            <w:vAlign w:val="center"/>
          </w:tcPr>
          <w:p>
            <w:pPr>
              <w:spacing w:line="360" w:lineRule="exact"/>
              <w:jc w:val="center"/>
              <w:rPr>
                <w:rFonts w:hint="eastAsia" w:hAnsi="仿宋" w:eastAsia="仿宋_GB2312" w:cs="Arial"/>
                <w:color w:val="000000" w:themeColor="text1"/>
                <w:sz w:val="30"/>
                <w:szCs w:val="30"/>
                <w:lang w:eastAsia="zh-CN"/>
                <w14:textFill>
                  <w14:solidFill>
                    <w14:schemeClr w14:val="tx1"/>
                  </w14:solidFill>
                </w14:textFill>
              </w:rPr>
            </w:pPr>
            <w:r>
              <w:rPr>
                <w:rFonts w:hint="eastAsia" w:hAnsi="仿宋" w:eastAsia="仿宋_GB2312" w:cs="Arial"/>
                <w:color w:val="000000" w:themeColor="text1"/>
                <w:sz w:val="30"/>
                <w:szCs w:val="30"/>
                <w:lang w:eastAsia="zh-CN"/>
                <w14:textFill>
                  <w14:solidFill>
                    <w14:schemeClr w14:val="tx1"/>
                  </w14:solidFill>
                </w14:textFill>
              </w:rPr>
              <w:t>环保投资</w:t>
            </w:r>
          </w:p>
        </w:tc>
        <w:tc>
          <w:tcPr>
            <w:tcW w:w="2199" w:type="dxa"/>
            <w:gridSpan w:val="2"/>
            <w:tcBorders>
              <w:left w:val="nil"/>
            </w:tcBorders>
            <w:vAlign w:val="center"/>
          </w:tcPr>
          <w:p>
            <w:pPr>
              <w:spacing w:line="360" w:lineRule="exact"/>
              <w:jc w:val="center"/>
              <w:rPr>
                <w:rFonts w:hint="eastAsia" w:hAnsi="仿宋" w:eastAsia="仿宋_GB2312" w:cs="Arial"/>
                <w:color w:val="000000" w:themeColor="text1"/>
                <w:sz w:val="30"/>
                <w:szCs w:val="3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388" w:type="dxa"/>
            <w:gridSpan w:val="5"/>
            <w:vAlign w:val="center"/>
          </w:tcPr>
          <w:p>
            <w:pPr>
              <w:spacing w:line="360" w:lineRule="exact"/>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□统一社会信用代码</w:t>
            </w:r>
            <w:r>
              <w:rPr>
                <w:rFonts w:ascii="仿宋_GB2312" w:hAnsi="仿宋" w:eastAsia="仿宋_GB2312"/>
                <w:color w:val="000000" w:themeColor="text1"/>
                <w:sz w:val="30"/>
                <w:szCs w:val="30"/>
                <w14:textFill>
                  <w14:solidFill>
                    <w14:schemeClr w14:val="tx1"/>
                  </w14:solidFill>
                </w14:textFill>
              </w:rPr>
              <w:t xml:space="preserve"> </w:t>
            </w:r>
            <w:r>
              <w:rPr>
                <w:rFonts w:hint="eastAsia" w:ascii="仿宋_GB2312" w:hAnsi="仿宋" w:eastAsia="仿宋_GB2312"/>
                <w:color w:val="000000" w:themeColor="text1"/>
                <w:sz w:val="30"/>
                <w:szCs w:val="30"/>
                <w14:textFill>
                  <w14:solidFill>
                    <w14:schemeClr w14:val="tx1"/>
                  </w14:solidFill>
                </w14:textFill>
              </w:rPr>
              <w:t>□组织机构代码</w:t>
            </w:r>
          </w:p>
          <w:p>
            <w:pPr>
              <w:spacing w:line="360" w:lineRule="exact"/>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□工商注册号</w:t>
            </w:r>
            <w:r>
              <w:rPr>
                <w:rFonts w:ascii="仿宋_GB2312" w:hAnsi="仿宋" w:eastAsia="仿宋_GB2312"/>
                <w:color w:val="000000" w:themeColor="text1"/>
                <w:sz w:val="30"/>
                <w:szCs w:val="30"/>
                <w14:textFill>
                  <w14:solidFill>
                    <w14:schemeClr w14:val="tx1"/>
                  </w14:solidFill>
                </w14:textFill>
              </w:rPr>
              <w:t xml:space="preserve">       </w:t>
            </w:r>
            <w:r>
              <w:rPr>
                <w:rFonts w:hint="eastAsia" w:ascii="仿宋_GB2312" w:hAnsi="仿宋" w:eastAsia="仿宋_GB2312"/>
                <w:color w:val="000000" w:themeColor="text1"/>
                <w:sz w:val="30"/>
                <w:szCs w:val="30"/>
                <w14:textFill>
                  <w14:solidFill>
                    <w14:schemeClr w14:val="tx1"/>
                  </w14:solidFill>
                </w14:textFill>
              </w:rPr>
              <w:t>□其他</w:t>
            </w:r>
          </w:p>
        </w:tc>
        <w:tc>
          <w:tcPr>
            <w:tcW w:w="3543" w:type="dxa"/>
            <w:gridSpan w:val="4"/>
            <w:tcBorders>
              <w:left w:val="nil"/>
            </w:tcBorders>
            <w:vAlign w:val="center"/>
          </w:tcPr>
          <w:p>
            <w:pPr>
              <w:spacing w:line="360" w:lineRule="exact"/>
              <w:jc w:val="center"/>
              <w:rPr>
                <w:rFonts w:ascii="仿宋_GB2312" w:hAnsi="仿宋" w:eastAsia="仿宋_GB2312" w:cs="Arial"/>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336" w:type="dxa"/>
            <w:tcBorders>
              <w:top w:val="nil"/>
            </w:tcBorders>
            <w:vAlign w:val="center"/>
          </w:tcPr>
          <w:p>
            <w:pPr>
              <w:spacing w:line="360" w:lineRule="exact"/>
              <w:jc w:val="both"/>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经办人员信息</w:t>
            </w:r>
          </w:p>
        </w:tc>
        <w:tc>
          <w:tcPr>
            <w:tcW w:w="6595" w:type="dxa"/>
            <w:gridSpan w:val="8"/>
            <w:tcBorders>
              <w:left w:val="nil"/>
            </w:tcBorders>
            <w:vAlign w:val="center"/>
          </w:tcPr>
          <w:p>
            <w:pPr>
              <w:spacing w:line="360" w:lineRule="exact"/>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姓名：</w:t>
            </w:r>
            <w:r>
              <w:rPr>
                <w:rFonts w:ascii="仿宋_GB2312" w:hAnsi="仿宋" w:eastAsia="仿宋_GB2312"/>
                <w:color w:val="000000" w:themeColor="text1"/>
                <w:sz w:val="30"/>
                <w:szCs w:val="30"/>
                <w14:textFill>
                  <w14:solidFill>
                    <w14:schemeClr w14:val="tx1"/>
                  </w14:solidFill>
                </w14:textFill>
              </w:rPr>
              <w:t xml:space="preserve">            </w:t>
            </w:r>
            <w:r>
              <w:rPr>
                <w:rFonts w:hint="eastAsia" w:ascii="仿宋_GB2312" w:hAnsi="仿宋" w:eastAsia="仿宋_GB2312"/>
                <w:color w:val="000000" w:themeColor="text1"/>
                <w:sz w:val="30"/>
                <w:szCs w:val="30"/>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336" w:type="dxa"/>
            <w:vMerge w:val="restart"/>
            <w:tcBorders>
              <w:top w:val="nil"/>
            </w:tcBorders>
            <w:vAlign w:val="center"/>
          </w:tcPr>
          <w:p>
            <w:pPr>
              <w:widowControl/>
              <w:jc w:val="center"/>
              <w:rPr>
                <w:rFonts w:hint="eastAsia" w:ascii="仿宋_GB2312" w:hAnsi="仿宋" w:eastAsia="仿宋_GB2312" w:cs="Arial"/>
                <w:color w:val="000000" w:themeColor="text1"/>
                <w:sz w:val="30"/>
                <w:szCs w:val="30"/>
                <w:lang w:val="en-US" w:eastAsia="zh-CN"/>
                <w14:textFill>
                  <w14:solidFill>
                    <w14:schemeClr w14:val="tx1"/>
                  </w14:solidFill>
                </w14:textFill>
              </w:rPr>
            </w:pPr>
            <w:r>
              <w:rPr>
                <w:rFonts w:hint="eastAsia" w:ascii="仿宋_GB2312" w:hAnsi="仿宋" w:eastAsia="仿宋_GB2312" w:cs="Arial"/>
                <w:color w:val="000000" w:themeColor="text1"/>
                <w:sz w:val="30"/>
                <w:szCs w:val="30"/>
                <w:lang w:val="en-US" w:eastAsia="zh-CN"/>
                <w14:textFill>
                  <w14:solidFill>
                    <w14:schemeClr w14:val="tx1"/>
                  </w14:solidFill>
                </w14:textFill>
              </w:rPr>
              <w:t>主要原辅料</w:t>
            </w:r>
          </w:p>
          <w:p>
            <w:pPr>
              <w:widowControl/>
              <w:jc w:val="center"/>
              <w:rPr>
                <w:rFonts w:ascii="仿宋_GB2312" w:hAnsi="仿宋" w:eastAsia="仿宋_GB2312" w:cs="Arial"/>
                <w:color w:val="000000" w:themeColor="text1"/>
                <w:sz w:val="30"/>
                <w:szCs w:val="30"/>
                <w14:textFill>
                  <w14:solidFill>
                    <w14:schemeClr w14:val="tx1"/>
                  </w14:solidFill>
                </w14:textFill>
              </w:rPr>
            </w:pPr>
            <w:r>
              <w:rPr>
                <w:rFonts w:hint="eastAsia" w:ascii="仿宋_GB2312" w:hAnsi="仿宋" w:eastAsia="仿宋_GB2312" w:cs="Arial"/>
                <w:color w:val="000000" w:themeColor="text1"/>
                <w:sz w:val="30"/>
                <w:szCs w:val="30"/>
                <w:lang w:val="en-US" w:eastAsia="zh-CN"/>
                <w14:textFill>
                  <w14:solidFill>
                    <w14:schemeClr w14:val="tx1"/>
                  </w14:solidFill>
                </w14:textFill>
              </w:rPr>
              <w:t>及用量</w:t>
            </w:r>
          </w:p>
        </w:tc>
        <w:tc>
          <w:tcPr>
            <w:tcW w:w="1219" w:type="dxa"/>
            <w:tcBorders>
              <w:left w:val="nil"/>
            </w:tcBorders>
            <w:vAlign w:val="center"/>
          </w:tcPr>
          <w:p>
            <w:pPr>
              <w:spacing w:line="360" w:lineRule="exact"/>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hAnsi="仿宋" w:eastAsia="仿宋_GB2312"/>
                <w:color w:val="000000" w:themeColor="text1"/>
                <w:sz w:val="28"/>
                <w:szCs w:val="28"/>
                <w:lang w:eastAsia="zh-CN"/>
                <w14:textFill>
                  <w14:solidFill>
                    <w14:schemeClr w14:val="tx1"/>
                  </w14:solidFill>
                </w14:textFill>
              </w:rPr>
              <w:t>名称</w:t>
            </w:r>
          </w:p>
        </w:tc>
        <w:tc>
          <w:tcPr>
            <w:tcW w:w="1343" w:type="dxa"/>
            <w:gridSpan w:val="2"/>
            <w:tcBorders>
              <w:left w:val="nil"/>
            </w:tcBorders>
            <w:vAlign w:val="center"/>
          </w:tcPr>
          <w:p>
            <w:pPr>
              <w:spacing w:line="360" w:lineRule="exact"/>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hAnsi="仿宋" w:eastAsia="仿宋_GB2312"/>
                <w:color w:val="000000" w:themeColor="text1"/>
                <w:sz w:val="28"/>
                <w:szCs w:val="28"/>
                <w:lang w:eastAsia="zh-CN"/>
                <w14:textFill>
                  <w14:solidFill>
                    <w14:schemeClr w14:val="tx1"/>
                  </w14:solidFill>
                </w14:textFill>
              </w:rPr>
              <w:t>设计年使用量</w:t>
            </w:r>
          </w:p>
        </w:tc>
        <w:tc>
          <w:tcPr>
            <w:tcW w:w="1343" w:type="dxa"/>
            <w:gridSpan w:val="2"/>
            <w:tcBorders>
              <w:left w:val="nil"/>
            </w:tcBorders>
            <w:vAlign w:val="center"/>
          </w:tcPr>
          <w:p>
            <w:pPr>
              <w:spacing w:line="360" w:lineRule="exact"/>
              <w:jc w:val="center"/>
              <w:rPr>
                <w:rFonts w:hint="eastAsia" w:ascii="仿宋_GB2312" w:hAnsi="仿宋" w:eastAsia="仿宋_GB2312"/>
                <w:color w:val="000000" w:themeColor="text1"/>
                <w:sz w:val="28"/>
                <w:szCs w:val="28"/>
                <w:lang w:eastAsia="zh-CN"/>
                <w14:textFill>
                  <w14:solidFill>
                    <w14:schemeClr w14:val="tx1"/>
                  </w14:solidFill>
                </w14:textFill>
              </w:rPr>
            </w:pPr>
            <w:r>
              <w:rPr>
                <w:rFonts w:hint="eastAsia" w:hAnsi="仿宋" w:eastAsia="仿宋_GB2312"/>
                <w:color w:val="000000" w:themeColor="text1"/>
                <w:sz w:val="28"/>
                <w:szCs w:val="28"/>
                <w:lang w:eastAsia="zh-CN"/>
                <w14:textFill>
                  <w14:solidFill>
                    <w14:schemeClr w14:val="tx1"/>
                  </w14:solidFill>
                </w14:textFill>
              </w:rPr>
              <w:t>计量单位</w:t>
            </w:r>
          </w:p>
        </w:tc>
        <w:tc>
          <w:tcPr>
            <w:tcW w:w="1343" w:type="dxa"/>
            <w:gridSpan w:val="2"/>
            <w:tcBorders>
              <w:left w:val="nil"/>
            </w:tcBorders>
            <w:vAlign w:val="center"/>
          </w:tcPr>
          <w:p>
            <w:pPr>
              <w:spacing w:line="360" w:lineRule="exact"/>
              <w:jc w:val="center"/>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挥发性有机物成分占比（%）</w:t>
            </w:r>
          </w:p>
        </w:tc>
        <w:tc>
          <w:tcPr>
            <w:tcW w:w="1347" w:type="dxa"/>
            <w:tcBorders>
              <w:left w:val="nil"/>
            </w:tcBorders>
            <w:vAlign w:val="center"/>
          </w:tcPr>
          <w:p>
            <w:pPr>
              <w:spacing w:line="360" w:lineRule="exact"/>
              <w:jc w:val="center"/>
              <w:rPr>
                <w:rFonts w:hint="eastAsia" w:ascii="仿宋_GB2312" w:hAnsi="仿宋" w:eastAsia="仿宋_GB2312"/>
                <w:color w:val="000000" w:themeColor="text1"/>
                <w:sz w:val="28"/>
                <w:szCs w:val="28"/>
                <w:lang w:val="en-US" w:eastAsia="zh-CN"/>
                <w14:textFill>
                  <w14:solidFill>
                    <w14:schemeClr w14:val="tx1"/>
                  </w14:solidFill>
                </w14:textFill>
              </w:rPr>
            </w:pPr>
            <w:r>
              <w:rPr>
                <w:rFonts w:hint="eastAsia" w:hAnsi="仿宋" w:eastAsia="仿宋_GB2312"/>
                <w:color w:val="000000" w:themeColor="text1"/>
                <w:sz w:val="28"/>
                <w:szCs w:val="28"/>
                <w:lang w:val="en-US" w:eastAsia="zh-CN"/>
                <w14:textFill>
                  <w14:solidFill>
                    <w14:schemeClr w14:val="tx1"/>
                  </w14:solidFill>
                </w14:textFill>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336" w:type="dxa"/>
            <w:vMerge w:val="continue"/>
            <w:vAlign w:val="center"/>
          </w:tcPr>
          <w:p>
            <w:pPr>
              <w:spacing w:line="360" w:lineRule="exact"/>
              <w:rPr>
                <w:color w:val="000000" w:themeColor="text1"/>
                <w14:textFill>
                  <w14:solidFill>
                    <w14:schemeClr w14:val="tx1"/>
                  </w14:solidFill>
                </w14:textFill>
              </w:rPr>
            </w:pPr>
          </w:p>
        </w:tc>
        <w:tc>
          <w:tcPr>
            <w:tcW w:w="1219" w:type="dxa"/>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rFonts w:hint="eastAsia" w:ascii="仿宋_GB2312" w:hAnsi="仿宋" w:eastAsia="仿宋_GB2312"/>
                <w:color w:val="000000" w:themeColor="text1"/>
                <w:sz w:val="30"/>
                <w:szCs w:val="30"/>
                <w14:textFill>
                  <w14:solidFill>
                    <w14:schemeClr w14:val="tx1"/>
                  </w14:solidFill>
                </w14:textFill>
              </w:rPr>
            </w:pPr>
          </w:p>
        </w:tc>
        <w:tc>
          <w:tcPr>
            <w:tcW w:w="1347" w:type="dxa"/>
            <w:tcBorders>
              <w:left w:val="nil"/>
            </w:tcBorders>
            <w:vAlign w:val="center"/>
          </w:tcPr>
          <w:p>
            <w:pPr>
              <w:spacing w:line="360" w:lineRule="exact"/>
              <w:rPr>
                <w:rFonts w:hint="eastAsia" w:ascii="仿宋_GB2312" w:hAnsi="仿宋"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336" w:type="dxa"/>
            <w:vMerge w:val="continue"/>
            <w:vAlign w:val="center"/>
          </w:tcPr>
          <w:p>
            <w:pPr>
              <w:spacing w:line="360" w:lineRule="exact"/>
              <w:rPr>
                <w:color w:val="000000" w:themeColor="text1"/>
                <w14:textFill>
                  <w14:solidFill>
                    <w14:schemeClr w14:val="tx1"/>
                  </w14:solidFill>
                </w14:textFill>
              </w:rPr>
            </w:pPr>
          </w:p>
        </w:tc>
        <w:tc>
          <w:tcPr>
            <w:tcW w:w="1219" w:type="dxa"/>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rFonts w:hint="eastAsia" w:ascii="仿宋_GB2312" w:hAnsi="仿宋" w:eastAsia="仿宋_GB2312"/>
                <w:color w:val="000000" w:themeColor="text1"/>
                <w:sz w:val="30"/>
                <w:szCs w:val="30"/>
                <w14:textFill>
                  <w14:solidFill>
                    <w14:schemeClr w14:val="tx1"/>
                  </w14:solidFill>
                </w14:textFill>
              </w:rPr>
            </w:pPr>
          </w:p>
        </w:tc>
        <w:tc>
          <w:tcPr>
            <w:tcW w:w="1347" w:type="dxa"/>
            <w:tcBorders>
              <w:left w:val="nil"/>
            </w:tcBorders>
            <w:vAlign w:val="center"/>
          </w:tcPr>
          <w:p>
            <w:pPr>
              <w:spacing w:line="360" w:lineRule="exact"/>
              <w:rPr>
                <w:rFonts w:hint="eastAsia" w:ascii="仿宋_GB2312" w:hAnsi="仿宋"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jc w:val="center"/>
        </w:trPr>
        <w:tc>
          <w:tcPr>
            <w:tcW w:w="2336" w:type="dxa"/>
            <w:vMerge w:val="continue"/>
            <w:vAlign w:val="center"/>
          </w:tcPr>
          <w:p>
            <w:pPr>
              <w:spacing w:line="360" w:lineRule="exact"/>
              <w:rPr>
                <w:color w:val="000000" w:themeColor="text1"/>
                <w14:textFill>
                  <w14:solidFill>
                    <w14:schemeClr w14:val="tx1"/>
                  </w14:solidFill>
                </w14:textFill>
              </w:rPr>
            </w:pPr>
          </w:p>
        </w:tc>
        <w:tc>
          <w:tcPr>
            <w:tcW w:w="1219" w:type="dxa"/>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3" w:type="dxa"/>
            <w:gridSpan w:val="2"/>
            <w:tcBorders>
              <w:left w:val="nil"/>
            </w:tcBorders>
            <w:vAlign w:val="center"/>
          </w:tcPr>
          <w:p>
            <w:pPr>
              <w:spacing w:line="360" w:lineRule="exact"/>
              <w:rPr>
                <w:color w:val="000000" w:themeColor="text1"/>
                <w14:textFill>
                  <w14:solidFill>
                    <w14:schemeClr w14:val="tx1"/>
                  </w14:solidFill>
                </w14:textFill>
              </w:rPr>
            </w:pPr>
          </w:p>
        </w:tc>
        <w:tc>
          <w:tcPr>
            <w:tcW w:w="1347" w:type="dxa"/>
            <w:tcBorders>
              <w:left w:val="nil"/>
            </w:tcBorders>
            <w:vAlign w:val="center"/>
          </w:tcPr>
          <w:p>
            <w:pPr>
              <w:spacing w:line="3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2336" w:type="dxa"/>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主要生产设备</w:t>
            </w:r>
          </w:p>
        </w:tc>
        <w:tc>
          <w:tcPr>
            <w:tcW w:w="6595" w:type="dxa"/>
            <w:gridSpan w:val="8"/>
            <w:tcBorders>
              <w:left w:val="nil"/>
            </w:tcBorders>
            <w:vAlign w:val="center"/>
          </w:tcPr>
          <w:p>
            <w:pPr>
              <w:spacing w:line="36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2336" w:type="dxa"/>
            <w:vAlign w:val="center"/>
          </w:tcPr>
          <w:p>
            <w:pPr>
              <w:spacing w:line="360" w:lineRule="exact"/>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生产工艺流程</w:t>
            </w:r>
          </w:p>
        </w:tc>
        <w:tc>
          <w:tcPr>
            <w:tcW w:w="6595" w:type="dxa"/>
            <w:gridSpan w:val="8"/>
            <w:tcBorders>
              <w:left w:val="nil"/>
            </w:tcBorders>
            <w:vAlign w:val="center"/>
          </w:tcPr>
          <w:p>
            <w:pPr>
              <w:spacing w:line="360" w:lineRule="exact"/>
              <w:rPr>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bidi w:val="0"/>
        <w:adjustRightInd w:val="0"/>
        <w:snapToGrid w:val="0"/>
        <w:spacing w:line="59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val="0"/>
        <w:snapToGrid w:val="0"/>
        <w:spacing w:line="59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bidi w:val="0"/>
        <w:adjustRightInd w:val="0"/>
        <w:snapToGrid w:val="0"/>
        <w:spacing w:line="590" w:lineRule="exact"/>
        <w:jc w:val="center"/>
        <w:textAlignment w:val="auto"/>
        <w:rPr>
          <w:rFonts w:hint="eastAsia" w:ascii="方正小标宋简体" w:hAnsi="华文中宋" w:eastAsia="方正小标宋简体"/>
          <w:bCs/>
          <w:color w:val="000000" w:themeColor="text1"/>
          <w:kern w:val="0"/>
          <w:sz w:val="32"/>
          <w:szCs w:val="32"/>
          <w:lang w:val="en-US" w:eastAsia="zh-CN"/>
          <w14:textFill>
            <w14:solidFill>
              <w14:schemeClr w14:val="tx1"/>
            </w14:solidFill>
          </w14:textFill>
        </w:rPr>
      </w:pPr>
      <w:r>
        <w:rPr>
          <w:rFonts w:hint="eastAsia" w:ascii="仿宋_GB2312" w:hAnsi="等线" w:eastAsia="方正小标宋简体" w:cs="Times New Roman"/>
          <w:bCs w:val="0"/>
          <w:color w:val="000000" w:themeColor="text1"/>
          <w:kern w:val="2"/>
          <w:sz w:val="36"/>
          <w:szCs w:val="36"/>
          <w:lang w:eastAsia="zh-CN"/>
          <w14:textFill>
            <w14:solidFill>
              <w14:schemeClr w14:val="tx1"/>
            </w14:solidFill>
          </w14:textFill>
        </w:rPr>
        <w:t>莆田市优化环境影响评价分类管理试点申请</w:t>
      </w:r>
      <w:r>
        <w:rPr>
          <w:rFonts w:hint="eastAsia" w:eastAsia="方正小标宋简体" w:cs="Times New Roman"/>
          <w:bCs w:val="0"/>
          <w:color w:val="000000" w:themeColor="text1"/>
          <w:kern w:val="2"/>
          <w:sz w:val="36"/>
          <w:szCs w:val="36"/>
          <w:lang w:eastAsia="zh-CN"/>
          <w14:textFill>
            <w14:solidFill>
              <w14:schemeClr w14:val="tx1"/>
            </w14:solidFill>
          </w14:textFill>
        </w:rPr>
        <w:t>复函</w:t>
      </w:r>
      <w:r>
        <w:rPr>
          <w:rFonts w:hint="eastAsia" w:ascii="仿宋_GB2312" w:hAnsi="等线" w:eastAsia="方正小标宋简体" w:cs="Times New Roman"/>
          <w:bCs w:val="0"/>
          <w:color w:val="000000" w:themeColor="text1"/>
          <w:kern w:val="2"/>
          <w:sz w:val="36"/>
          <w:szCs w:val="36"/>
          <w14:textFill>
            <w14:solidFill>
              <w14:schemeClr w14:val="tx1"/>
            </w14:solidFill>
          </w14:textFill>
        </w:rPr>
        <w:t>格式</w:t>
      </w:r>
    </w:p>
    <w:p>
      <w:pPr>
        <w:pStyle w:val="11"/>
        <w:keepNext w:val="0"/>
        <w:keepLines w:val="0"/>
        <w:pageBreakBefore w:val="0"/>
        <w:widowControl w:val="0"/>
        <w:kinsoku/>
        <w:wordWrap/>
        <w:overflowPunct/>
        <w:topLinePunct w:val="0"/>
        <w:autoSpaceDE/>
        <w:bidi w:val="0"/>
        <w:spacing w:line="590" w:lineRule="exact"/>
        <w:textAlignment w:val="auto"/>
        <w:rPr>
          <w:rFonts w:hint="eastAsia" w:ascii="仿宋_GB2312" w:eastAsia="仿宋_GB2312"/>
          <w:color w:val="000000" w:themeColor="text1"/>
          <w:sz w:val="32"/>
          <w:szCs w:val="32"/>
          <w14:textFill>
            <w14:solidFill>
              <w14:schemeClr w14:val="tx1"/>
            </w14:solidFill>
          </w14:textFill>
        </w:rPr>
      </w:pPr>
    </w:p>
    <w:p>
      <w:pPr>
        <w:pStyle w:val="11"/>
        <w:keepNext w:val="0"/>
        <w:keepLines w:val="0"/>
        <w:pageBreakBefore w:val="0"/>
        <w:widowControl w:val="0"/>
        <w:kinsoku/>
        <w:wordWrap/>
        <w:overflowPunct/>
        <w:topLinePunct w:val="0"/>
        <w:autoSpaceDE/>
        <w:bidi w:val="0"/>
        <w:spacing w:line="590" w:lineRule="exact"/>
        <w:jc w:val="center"/>
        <w:textAlignment w:val="auto"/>
        <w:rPr>
          <w:color w:val="000000" w:themeColor="text1"/>
          <w14:textFill>
            <w14:solidFill>
              <w14:schemeClr w14:val="tx1"/>
            </w14:solidFill>
          </w14:textFill>
        </w:rPr>
      </w:pPr>
      <w:r>
        <w:rPr>
          <w:rFonts w:hint="eastAsia" w:hAnsi="仿宋_GB2312" w:cs="仿宋_GB2312"/>
          <w:color w:val="000000" w:themeColor="text1"/>
          <w:sz w:val="30"/>
          <w:szCs w:val="30"/>
          <w:lang w:val="en-US" w:eastAsia="zh-CN"/>
          <w14:textFill>
            <w14:solidFill>
              <w14:schemeClr w14:val="tx1"/>
            </w14:solidFill>
          </w14:textFill>
        </w:rPr>
        <w:t xml:space="preserve">                                   </w:t>
      </w:r>
      <w:r>
        <w:rPr>
          <w:rFonts w:hint="eastAsia" w:hAnsi="仿宋_GB2312" w:cs="仿宋_GB2312"/>
          <w:color w:val="000000" w:themeColor="text1"/>
          <w:sz w:val="30"/>
          <w:szCs w:val="30"/>
          <w:lang w:eastAsia="zh-CN"/>
          <w14:textFill>
            <w14:solidFill>
              <w14:schemeClr w14:val="tx1"/>
            </w14:solidFill>
          </w14:textFill>
        </w:rPr>
        <w:t>莆</w:t>
      </w:r>
      <w:r>
        <w:rPr>
          <w:rFonts w:hint="eastAsia" w:ascii="仿宋_GB2312" w:hAnsi="仿宋_GB2312" w:eastAsia="仿宋_GB2312" w:cs="仿宋_GB2312"/>
          <w:color w:val="000000" w:themeColor="text1"/>
          <w:sz w:val="30"/>
          <w:szCs w:val="30"/>
          <w14:textFill>
            <w14:solidFill>
              <w14:schemeClr w14:val="tx1"/>
            </w14:solidFill>
          </w14:textFill>
        </w:rPr>
        <w:t>环审</w:t>
      </w:r>
      <w:r>
        <w:rPr>
          <w:rFonts w:hint="eastAsia" w:hAnsi="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函〔202X〕XX号</w:t>
      </w:r>
    </w:p>
    <w:p>
      <w:pPr>
        <w:pStyle w:val="11"/>
        <w:keepNext w:val="0"/>
        <w:keepLines w:val="0"/>
        <w:pageBreakBefore w:val="0"/>
        <w:widowControl w:val="0"/>
        <w:kinsoku/>
        <w:wordWrap/>
        <w:overflowPunct/>
        <w:topLinePunct w:val="0"/>
        <w:autoSpaceDE/>
        <w:bidi w:val="0"/>
        <w:spacing w:line="590" w:lineRule="exact"/>
        <w:jc w:val="center"/>
        <w:textAlignment w:val="auto"/>
        <w:rPr>
          <w:rFonts w:hint="eastAsia" w:ascii="方正公文小标宋" w:hAnsi="方正公文小标宋" w:eastAsia="方正公文小标宋" w:cs="方正公文小标宋"/>
          <w:color w:val="000000" w:themeColor="text1"/>
          <w:sz w:val="32"/>
          <w:szCs w:val="32"/>
          <w14:textFill>
            <w14:solidFill>
              <w14:schemeClr w14:val="tx1"/>
            </w14:solidFill>
          </w14:textFill>
        </w:rPr>
      </w:pPr>
    </w:p>
    <w:p>
      <w:pPr>
        <w:pStyle w:val="11"/>
        <w:keepNext w:val="0"/>
        <w:keepLines w:val="0"/>
        <w:pageBreakBefore w:val="0"/>
        <w:widowControl w:val="0"/>
        <w:kinsoku/>
        <w:wordWrap/>
        <w:overflowPunct/>
        <w:topLinePunct w:val="0"/>
        <w:autoSpaceDE/>
        <w:bidi w:val="0"/>
        <w:spacing w:line="590" w:lineRule="exact"/>
        <w:jc w:val="center"/>
        <w:textAlignment w:val="auto"/>
        <w:rPr>
          <w:rFonts w:hint="eastAsia" w:ascii="方正公文小标宋" w:hAnsi="方正公文小标宋" w:eastAsia="方正公文小标宋" w:cs="方正公文小标宋"/>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color w:val="000000" w:themeColor="text1"/>
          <w:sz w:val="36"/>
          <w:szCs w:val="36"/>
          <w14:textFill>
            <w14:solidFill>
              <w14:schemeClr w14:val="tx1"/>
            </w14:solidFill>
          </w14:textFill>
        </w:rPr>
        <w:t>关于同意</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XX</w:t>
      </w:r>
      <w:r>
        <w:rPr>
          <w:rFonts w:hint="eastAsia" w:ascii="方正公文小标宋" w:hAnsi="方正公文小标宋" w:eastAsia="方正公文小标宋" w:cs="方正公文小标宋"/>
          <w:color w:val="000000" w:themeColor="text1"/>
          <w:sz w:val="36"/>
          <w:szCs w:val="36"/>
          <w14:textFill>
            <w14:solidFill>
              <w14:schemeClr w14:val="tx1"/>
            </w14:solidFill>
          </w14:textFill>
        </w:rPr>
        <w:t>项目</w:t>
      </w:r>
      <w:r>
        <w:rPr>
          <w:rFonts w:hint="eastAsia" w:ascii="方正公文小标宋" w:hAnsi="方正公文小标宋" w:eastAsia="方正公文小标宋" w:cs="方正公文小标宋"/>
          <w:color w:val="000000" w:themeColor="text1"/>
          <w:sz w:val="36"/>
          <w:szCs w:val="36"/>
          <w:lang w:val="en-US" w:eastAsia="zh-Hans"/>
          <w14:textFill>
            <w14:solidFill>
              <w14:schemeClr w14:val="tx1"/>
            </w14:solidFill>
          </w14:textFill>
        </w:rPr>
        <w:t>取消</w:t>
      </w:r>
      <w:r>
        <w:rPr>
          <w:rFonts w:hint="eastAsia" w:ascii="方正公文小标宋" w:hAnsi="方正公文小标宋" w:eastAsia="方正公文小标宋" w:cs="方正公文小标宋"/>
          <w:color w:val="000000" w:themeColor="text1"/>
          <w:sz w:val="36"/>
          <w:szCs w:val="36"/>
          <w:lang w:val="en-US" w:eastAsia="zh-CN"/>
          <w14:textFill>
            <w14:solidFill>
              <w14:schemeClr w14:val="tx1"/>
            </w14:solidFill>
          </w14:textFill>
        </w:rPr>
        <w:t>项目</w:t>
      </w:r>
      <w:r>
        <w:rPr>
          <w:rFonts w:hint="eastAsia" w:ascii="方正公文小标宋" w:hAnsi="方正公文小标宋" w:eastAsia="方正公文小标宋" w:cs="方正公文小标宋"/>
          <w:color w:val="000000" w:themeColor="text1"/>
          <w:sz w:val="36"/>
          <w:szCs w:val="36"/>
          <w:lang w:val="en-US" w:eastAsia="zh-Hans"/>
          <w14:textFill>
            <w14:solidFill>
              <w14:schemeClr w14:val="tx1"/>
            </w14:solidFill>
          </w14:textFill>
        </w:rPr>
        <w:t>环评</w:t>
      </w:r>
      <w:r>
        <w:rPr>
          <w:rFonts w:hint="eastAsia" w:ascii="方正公文小标宋" w:hAnsi="方正公文小标宋" w:eastAsia="方正公文小标宋" w:cs="方正公文小标宋"/>
          <w:color w:val="000000" w:themeColor="text1"/>
          <w:sz w:val="36"/>
          <w:szCs w:val="36"/>
          <w14:textFill>
            <w14:solidFill>
              <w14:schemeClr w14:val="tx1"/>
            </w14:solidFill>
          </w14:textFill>
        </w:rPr>
        <w:t>的复函</w:t>
      </w:r>
    </w:p>
    <w:p>
      <w:pPr>
        <w:pStyle w:val="11"/>
        <w:keepNext w:val="0"/>
        <w:keepLines w:val="0"/>
        <w:pageBreakBefore w:val="0"/>
        <w:widowControl w:val="0"/>
        <w:kinsoku/>
        <w:wordWrap/>
        <w:overflowPunct/>
        <w:topLinePunct w:val="0"/>
        <w:autoSpaceDE/>
        <w:bidi w:val="0"/>
        <w:spacing w:line="560" w:lineRule="exact"/>
        <w:textAlignment w:val="auto"/>
        <w:rPr>
          <w:rFonts w:hint="eastAsia"/>
          <w:color w:val="000000" w:themeColor="text1"/>
          <w:sz w:val="32"/>
          <w:szCs w:val="32"/>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bidi w:val="0"/>
        <w:spacing w:line="590" w:lineRule="exact"/>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hAnsi="Times New Roman" w:cs="仿宋_GB2312"/>
          <w:color w:val="000000" w:themeColor="text1"/>
          <w:sz w:val="32"/>
          <w:szCs w:val="32"/>
          <w:lang w:val="en-US" w:eastAsia="zh-CN"/>
          <w14:textFill>
            <w14:solidFill>
              <w14:schemeClr w14:val="tx1"/>
            </w14:solidFill>
          </w14:textFill>
        </w:rPr>
        <w:t>XX</w:t>
      </w:r>
      <w:r>
        <w:rPr>
          <w:rFonts w:hint="eastAsia" w:ascii="仿宋_GB2312" w:hAnsi="Times New Roman" w:eastAsia="仿宋_GB2312" w:cs="仿宋_GB2312"/>
          <w:color w:val="000000" w:themeColor="text1"/>
          <w:sz w:val="32"/>
          <w:szCs w:val="32"/>
          <w14:textFill>
            <w14:solidFill>
              <w14:schemeClr w14:val="tx1"/>
            </w14:solidFill>
          </w14:textFill>
        </w:rPr>
        <w:t>公司：</w:t>
      </w:r>
    </w:p>
    <w:p>
      <w:pPr>
        <w:pStyle w:val="11"/>
        <w:keepNext w:val="0"/>
        <w:keepLines w:val="0"/>
        <w:pageBreakBefore w:val="0"/>
        <w:widowControl w:val="0"/>
        <w:kinsoku/>
        <w:wordWrap/>
        <w:overflowPunct/>
        <w:topLinePunct w:val="0"/>
        <w:autoSpaceDE/>
        <w:bidi w:val="0"/>
        <w:spacing w:line="590" w:lineRule="exact"/>
        <w:ind w:firstLine="640" w:firstLineChars="200"/>
        <w:textAlignment w:val="auto"/>
        <w:rPr>
          <w:rFonts w:hint="eastAsia" w:hAnsi="Times New Roman" w:cs="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你</w:t>
      </w:r>
      <w:r>
        <w:rPr>
          <w:rFonts w:hint="eastAsia" w:hAnsi="Times New Roman" w:cs="仿宋_GB2312"/>
          <w:color w:val="000000" w:themeColor="text1"/>
          <w:sz w:val="32"/>
          <w:szCs w:val="32"/>
          <w:lang w:eastAsia="zh-CN"/>
          <w14:textFill>
            <w14:solidFill>
              <w14:schemeClr w14:val="tx1"/>
            </w14:solidFill>
          </w14:textFill>
        </w:rPr>
        <w:t>公司《</w:t>
      </w:r>
      <w:r>
        <w:rPr>
          <w:rFonts w:hint="eastAsia" w:ascii="仿宋_GB2312" w:hAnsi="Times New Roman" w:eastAsia="仿宋_GB2312" w:cs="仿宋_GB2312"/>
          <w:color w:val="000000" w:themeColor="text1"/>
          <w:sz w:val="32"/>
          <w:szCs w:val="32"/>
          <w14:textFill>
            <w14:solidFill>
              <w14:schemeClr w14:val="tx1"/>
            </w14:solidFill>
          </w14:textFill>
        </w:rPr>
        <w:t>关于</w:t>
      </w:r>
      <w:r>
        <w:rPr>
          <w:rFonts w:hint="eastAsia" w:hAnsi="Times New Roman" w:cs="仿宋_GB2312"/>
          <w:color w:val="000000" w:themeColor="text1"/>
          <w:sz w:val="32"/>
          <w:szCs w:val="32"/>
          <w:lang w:val="en-US" w:eastAsia="zh-CN"/>
          <w14:textFill>
            <w14:solidFill>
              <w14:schemeClr w14:val="tx1"/>
            </w14:solidFill>
          </w14:textFill>
        </w:rPr>
        <w:t>XX</w:t>
      </w:r>
      <w:r>
        <w:rPr>
          <w:rFonts w:hint="eastAsia" w:ascii="仿宋_GB2312" w:hAnsi="Times New Roman" w:eastAsia="仿宋_GB2312" w:cs="仿宋_GB2312"/>
          <w:color w:val="000000" w:themeColor="text1"/>
          <w:sz w:val="32"/>
          <w:szCs w:val="32"/>
          <w14:textFill>
            <w14:solidFill>
              <w14:schemeClr w14:val="tx1"/>
            </w14:solidFill>
          </w14:textFill>
        </w:rPr>
        <w:t>项目申请</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取消项目环评</w:t>
      </w:r>
      <w:r>
        <w:rPr>
          <w:rFonts w:hint="eastAsia" w:ascii="仿宋_GB2312" w:hAnsi="Times New Roman" w:eastAsia="仿宋_GB2312" w:cs="仿宋_GB2312"/>
          <w:color w:val="000000" w:themeColor="text1"/>
          <w:sz w:val="32"/>
          <w:szCs w:val="32"/>
          <w14:textFill>
            <w14:solidFill>
              <w14:schemeClr w14:val="tx1"/>
            </w14:solidFill>
          </w14:textFill>
        </w:rPr>
        <w:t>的函</w:t>
      </w:r>
      <w:r>
        <w:rPr>
          <w:rFonts w:hint="eastAsia" w:hAnsi="Times New Roman"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color w:val="000000" w:themeColor="text1"/>
          <w:sz w:val="32"/>
          <w:szCs w:val="32"/>
          <w14:textFill>
            <w14:solidFill>
              <w14:schemeClr w14:val="tx1"/>
            </w14:solidFill>
          </w14:textFill>
        </w:rPr>
        <w:t>已收悉，</w:t>
      </w:r>
      <w:r>
        <w:rPr>
          <w:rFonts w:hint="eastAsia" w:hAnsi="Times New Roman" w:cs="仿宋_GB2312"/>
          <w:color w:val="000000" w:themeColor="text1"/>
          <w:sz w:val="32"/>
          <w:szCs w:val="32"/>
          <w:lang w:eastAsia="zh-CN"/>
          <w14:textFill>
            <w14:solidFill>
              <w14:schemeClr w14:val="tx1"/>
            </w14:solidFill>
          </w14:textFill>
        </w:rPr>
        <w:t>现函复如下：</w:t>
      </w:r>
    </w:p>
    <w:p>
      <w:pPr>
        <w:keepNext w:val="0"/>
        <w:keepLines w:val="0"/>
        <w:pageBreakBefore w:val="0"/>
        <w:widowControl w:val="0"/>
        <w:numPr>
          <w:ilvl w:val="0"/>
          <w:numId w:val="3"/>
        </w:numPr>
        <w:kinsoku/>
        <w:wordWrap/>
        <w:overflowPunct/>
        <w:topLinePunct w:val="0"/>
        <w:autoSpaceDE/>
        <w:autoSpaceDN w:val="0"/>
        <w:bidi w:val="0"/>
        <w:spacing w:line="590" w:lineRule="exact"/>
        <w:ind w:firstLine="640" w:firstLineChars="200"/>
        <w:textAlignment w:val="auto"/>
        <w:rPr>
          <w:rFonts w:hint="eastAsia" w:hAnsi="Times New Roman" w:eastAsia="仿宋_GB2312" w:cs="仿宋_GB2312"/>
          <w:color w:val="000000" w:themeColor="text1"/>
          <w:sz w:val="32"/>
          <w:szCs w:val="32"/>
          <w:lang w:eastAsia="zh-CN"/>
          <w14:textFill>
            <w14:solidFill>
              <w14:schemeClr w14:val="tx1"/>
            </w14:solidFill>
          </w14:textFill>
        </w:rPr>
      </w:pPr>
      <w:r>
        <w:rPr>
          <w:rFonts w:hint="eastAsia" w:hAnsi="Times New Roman" w:eastAsia="仿宋_GB2312" w:cs="仿宋_GB2312"/>
          <w:color w:val="000000" w:themeColor="text1"/>
          <w:sz w:val="32"/>
          <w:szCs w:val="32"/>
          <w:lang w:eastAsia="zh-CN"/>
          <w14:textFill>
            <w14:solidFill>
              <w14:schemeClr w14:val="tx1"/>
            </w14:solidFill>
          </w14:textFill>
        </w:rPr>
        <w:t>经审查，你公司申请的</w:t>
      </w:r>
      <w:r>
        <w:rPr>
          <w:rFonts w:hint="eastAsia" w:hAnsi="Times New Roman" w:eastAsia="仿宋_GB2312" w:cs="仿宋_GB2312"/>
          <w:color w:val="000000" w:themeColor="text1"/>
          <w:sz w:val="32"/>
          <w:szCs w:val="32"/>
          <w:lang w:val="en-US" w:eastAsia="zh-CN"/>
          <w14:textFill>
            <w14:solidFill>
              <w14:schemeClr w14:val="tx1"/>
            </w14:solidFill>
          </w14:textFill>
        </w:rPr>
        <w:t>XX</w:t>
      </w:r>
      <w:r>
        <w:rPr>
          <w:rFonts w:hint="eastAsia" w:hAnsi="Times New Roman" w:eastAsia="仿宋_GB2312" w:cs="仿宋_GB2312"/>
          <w:color w:val="000000" w:themeColor="text1"/>
          <w:sz w:val="32"/>
          <w:szCs w:val="32"/>
          <w:lang w:eastAsia="zh-CN"/>
          <w14:textFill>
            <w14:solidFill>
              <w14:schemeClr w14:val="tx1"/>
            </w14:solidFill>
          </w14:textFill>
        </w:rPr>
        <w:t>项目属于《莆田市优化环境影响评价分类管理试点实施方案》所列的行业范围，项目符合生态环境分区管控要求，我局同意</w:t>
      </w:r>
      <w:r>
        <w:rPr>
          <w:rFonts w:hint="eastAsia" w:hAnsi="Times New Roman" w:eastAsia="仿宋_GB2312" w:cs="仿宋_GB2312"/>
          <w:color w:val="000000" w:themeColor="text1"/>
          <w:sz w:val="32"/>
          <w:szCs w:val="32"/>
          <w:lang w:val="en-US" w:eastAsia="zh-CN"/>
          <w14:textFill>
            <w14:solidFill>
              <w14:schemeClr w14:val="tx1"/>
            </w14:solidFill>
          </w14:textFill>
        </w:rPr>
        <w:t>该</w:t>
      </w:r>
      <w:r>
        <w:rPr>
          <w:rFonts w:hint="eastAsia" w:hAnsi="Times New Roman" w:eastAsia="仿宋_GB2312" w:cs="仿宋_GB2312"/>
          <w:color w:val="000000" w:themeColor="text1"/>
          <w:sz w:val="32"/>
          <w:szCs w:val="32"/>
          <w:lang w:eastAsia="zh-CN"/>
          <w14:textFill>
            <w14:solidFill>
              <w14:schemeClr w14:val="tx1"/>
            </w14:solidFill>
          </w14:textFill>
        </w:rPr>
        <w:t>项目</w:t>
      </w:r>
      <w:r>
        <w:rPr>
          <w:rFonts w:hint="eastAsia" w:hAnsi="Times New Roman" w:eastAsia="仿宋_GB2312" w:cs="仿宋_GB2312"/>
          <w:color w:val="000000" w:themeColor="text1"/>
          <w:sz w:val="32"/>
          <w:szCs w:val="32"/>
          <w:lang w:val="en-US" w:eastAsia="zh-CN"/>
          <w14:textFill>
            <w14:solidFill>
              <w14:schemeClr w14:val="tx1"/>
            </w14:solidFill>
          </w14:textFill>
        </w:rPr>
        <w:t>取消办理项目环评和竣工环保验收。</w:t>
      </w:r>
      <w:r>
        <w:rPr>
          <w:rFonts w:hint="eastAsia" w:hAnsi="Times New Roman" w:eastAsia="仿宋_GB2312" w:cs="仿宋_GB2312"/>
          <w:color w:val="000000" w:themeColor="text1"/>
          <w:sz w:val="32"/>
          <w:szCs w:val="32"/>
          <w:lang w:eastAsia="zh-CN"/>
          <w14:textFill>
            <w14:solidFill>
              <w14:schemeClr w14:val="tx1"/>
            </w14:solidFill>
          </w14:textFill>
        </w:rPr>
        <w:t>你单位应按试点程序于项目开工建设前依法进行排污许可证申领</w:t>
      </w:r>
      <w:r>
        <w:rPr>
          <w:rFonts w:hint="eastAsia" w:hAnsi="Times New Roman" w:eastAsia="仿宋_GB2312" w:cs="仿宋_GB2312"/>
          <w:color w:val="000000" w:themeColor="text1"/>
          <w:sz w:val="32"/>
          <w:szCs w:val="32"/>
          <w:lang w:val="en-US" w:eastAsia="zh-CN"/>
          <w14:textFill>
            <w14:solidFill>
              <w14:schemeClr w14:val="tx1"/>
            </w14:solidFill>
          </w14:textFill>
        </w:rPr>
        <w:t>/排污登记，并</w:t>
      </w:r>
      <w:r>
        <w:rPr>
          <w:rFonts w:hint="eastAsia" w:hAnsi="Times New Roman" w:eastAsia="仿宋_GB2312" w:cs="仿宋_GB2312"/>
          <w:color w:val="000000" w:themeColor="text1"/>
          <w:sz w:val="32"/>
          <w:szCs w:val="32"/>
          <w:lang w:eastAsia="zh-CN"/>
          <w14:textFill>
            <w14:solidFill>
              <w14:schemeClr w14:val="tx1"/>
            </w14:solidFill>
          </w14:textFill>
        </w:rPr>
        <w:t>严格按照你司的申请函、《环境准入指引》和排污许可提出的项目性质、规模、地点、采用的生产工艺、各项污染防治措施等内容进行建设，选择可行的污染防治措施确保各项污染物稳定达标排放。</w:t>
      </w:r>
    </w:p>
    <w:p>
      <w:pPr>
        <w:keepNext w:val="0"/>
        <w:keepLines w:val="0"/>
        <w:pageBreakBefore w:val="0"/>
        <w:widowControl w:val="0"/>
        <w:kinsoku/>
        <w:wordWrap/>
        <w:overflowPunct/>
        <w:topLinePunct w:val="0"/>
        <w:autoSpaceDE/>
        <w:autoSpaceDN w:val="0"/>
        <w:bidi w:val="0"/>
        <w:spacing w:line="590" w:lineRule="exact"/>
        <w:ind w:firstLine="640" w:firstLineChars="200"/>
        <w:textAlignment w:val="auto"/>
        <w:rPr>
          <w:rFonts w:hint="eastAsia" w:hAnsi="Times New Roman" w:eastAsia="仿宋_GB2312" w:cs="仿宋_GB2312"/>
          <w:color w:val="000000" w:themeColor="text1"/>
          <w:sz w:val="32"/>
          <w:szCs w:val="32"/>
          <w:lang w:eastAsia="zh-CN"/>
          <w14:textFill>
            <w14:solidFill>
              <w14:schemeClr w14:val="tx1"/>
            </w14:solidFill>
          </w14:textFill>
        </w:rPr>
      </w:pPr>
      <w:r>
        <w:rPr>
          <w:rFonts w:hint="eastAsia" w:hAnsi="Times New Roman" w:eastAsia="仿宋_GB2312" w:cs="仿宋_GB2312"/>
          <w:color w:val="000000" w:themeColor="text1"/>
          <w:sz w:val="32"/>
          <w:szCs w:val="32"/>
          <w:lang w:eastAsia="zh-CN"/>
          <w14:textFill>
            <w14:solidFill>
              <w14:schemeClr w14:val="tx1"/>
            </w14:solidFill>
          </w14:textFill>
        </w:rPr>
        <w:t>二、根据你公司的申请材料，项目主要污染物总量控制指标为：（如有）</w:t>
      </w:r>
    </w:p>
    <w:p>
      <w:pPr>
        <w:keepNext w:val="0"/>
        <w:keepLines w:val="0"/>
        <w:pageBreakBefore w:val="0"/>
        <w:widowControl w:val="0"/>
        <w:kinsoku/>
        <w:wordWrap/>
        <w:overflowPunct/>
        <w:topLinePunct w:val="0"/>
        <w:autoSpaceDE/>
        <w:autoSpaceDN w:val="0"/>
        <w:bidi w:val="0"/>
        <w:spacing w:line="590" w:lineRule="exact"/>
        <w:ind w:firstLine="640" w:firstLineChars="200"/>
        <w:textAlignment w:val="auto"/>
        <w:rPr>
          <w:rFonts w:hint="eastAsia" w:hAnsi="Times New Roman" w:eastAsia="仿宋_GB2312" w:cs="仿宋_GB2312"/>
          <w:color w:val="000000" w:themeColor="text1"/>
          <w:sz w:val="32"/>
          <w:szCs w:val="32"/>
          <w:lang w:eastAsia="zh-CN"/>
          <w14:textFill>
            <w14:solidFill>
              <w14:schemeClr w14:val="tx1"/>
            </w14:solidFill>
          </w14:textFill>
        </w:rPr>
      </w:pPr>
      <w:r>
        <w:rPr>
          <w:rFonts w:hint="eastAsia" w:hAnsi="Times New Roman" w:eastAsia="仿宋_GB2312" w:cs="仿宋_GB2312"/>
          <w:color w:val="000000" w:themeColor="text1"/>
          <w:sz w:val="32"/>
          <w:szCs w:val="32"/>
          <w:lang w:eastAsia="zh-CN"/>
          <w14:textFill>
            <w14:solidFill>
              <w14:schemeClr w14:val="tx1"/>
            </w14:solidFill>
          </w14:textFill>
        </w:rPr>
        <w:t>三、你公司应建立环保管理机构和制度，明确环保人员和岗位职责。项目必须严格执行环境保护设施与主体工程同时设计、同时施工、同时投产使用的环保“三同时”制度。</w:t>
      </w:r>
    </w:p>
    <w:p>
      <w:pPr>
        <w:keepNext w:val="0"/>
        <w:keepLines w:val="0"/>
        <w:pageBreakBefore w:val="0"/>
        <w:widowControl w:val="0"/>
        <w:kinsoku/>
        <w:wordWrap/>
        <w:overflowPunct/>
        <w:topLinePunct w:val="0"/>
        <w:autoSpaceDE/>
        <w:autoSpaceDN w:val="0"/>
        <w:bidi w:val="0"/>
        <w:spacing w:line="590" w:lineRule="exact"/>
        <w:ind w:firstLine="640" w:firstLineChars="200"/>
        <w:textAlignment w:val="auto"/>
        <w:rPr>
          <w:rFonts w:hint="eastAsia" w:hAnsi="Times New Roman"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val="0"/>
        <w:bidi w:val="0"/>
        <w:spacing w:line="590" w:lineRule="exact"/>
        <w:ind w:firstLine="640" w:firstLineChars="200"/>
        <w:textAlignment w:val="auto"/>
        <w:rPr>
          <w:rFonts w:hint="default"/>
          <w:color w:val="000000" w:themeColor="text1"/>
          <w:sz w:val="32"/>
          <w:lang w:val="en-US" w:eastAsia="zh-CN"/>
          <w14:textFill>
            <w14:solidFill>
              <w14:schemeClr w14:val="tx1"/>
            </w14:solidFill>
          </w14:textFill>
        </w:rPr>
      </w:pPr>
      <w:r>
        <w:rPr>
          <w:rFonts w:hint="eastAsia" w:hAnsi="Times New Roman" w:eastAsia="仿宋_GB2312" w:cs="仿宋_GB2312"/>
          <w:color w:val="000000" w:themeColor="text1"/>
          <w:sz w:val="32"/>
          <w:szCs w:val="32"/>
          <w:lang w:val="en-US" w:eastAsia="zh-CN"/>
          <w14:textFill>
            <w14:solidFill>
              <w14:schemeClr w14:val="tx1"/>
            </w14:solidFill>
          </w14:textFill>
        </w:rPr>
        <w:t>附件：项目环境准入指引</w:t>
      </w:r>
    </w:p>
    <w:p>
      <w:pPr>
        <w:spacing w:line="56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p>
    <w:p>
      <w:pPr>
        <w:pStyle w:val="36"/>
        <w:keepNext w:val="0"/>
        <w:keepLines w:val="0"/>
        <w:pageBreakBefore w:val="0"/>
        <w:kinsoku/>
        <w:wordWrap/>
        <w:overflowPunct/>
        <w:topLinePunct w:val="0"/>
        <w:autoSpaceDE/>
        <w:bidi w:val="0"/>
        <w:spacing w:line="520" w:lineRule="exact"/>
        <w:ind w:firstLine="640"/>
        <w:textAlignment w:val="auto"/>
        <w:rPr>
          <w:rFonts w:hint="eastAsia" w:ascii="仿宋_GB2312" w:eastAsia="仿宋_GB2312" w:cs="仿宋_GB2312"/>
          <w:color w:val="000000" w:themeColor="text1"/>
          <w:kern w:val="2"/>
          <w:sz w:val="30"/>
          <w:szCs w:val="30"/>
          <w14:textFill>
            <w14:solidFill>
              <w14:schemeClr w14:val="tx1"/>
            </w14:solidFill>
          </w14:textFill>
        </w:rPr>
      </w:pPr>
    </w:p>
    <w:p>
      <w:pPr>
        <w:pStyle w:val="11"/>
        <w:rPr>
          <w:rFonts w:hint="eastAsia"/>
          <w:color w:val="000000" w:themeColor="text1"/>
          <w14:textFill>
            <w14:solidFill>
              <w14:schemeClr w14:val="tx1"/>
            </w14:solidFill>
          </w14:textFill>
        </w:rPr>
      </w:pPr>
    </w:p>
    <w:p>
      <w:pPr>
        <w:pStyle w:val="11"/>
        <w:rPr>
          <w:rFonts w:hint="eastAsia" w:ascii="仿宋_GB2312" w:eastAsia="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bidi w:val="0"/>
        <w:spacing w:line="520" w:lineRule="exact"/>
        <w:ind w:left="10" w:right="-73" w:firstLine="5706" w:firstLineChars="1902"/>
        <w:textAlignment w:val="auto"/>
        <w:rPr>
          <w:rFonts w:ascii="仿宋_GB2312" w:hAnsi="Times New Roman" w:eastAsia="仿宋_GB2312"/>
          <w:color w:val="000000" w:themeColor="text1"/>
          <w:kern w:val="0"/>
          <w:sz w:val="30"/>
          <w:szCs w:val="30"/>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 xml:space="preserve"> </w:t>
      </w:r>
      <w:r>
        <w:rPr>
          <w:rFonts w:hint="eastAsia" w:hAnsi="Times New Roman" w:eastAsia="仿宋_GB2312"/>
          <w:color w:val="000000" w:themeColor="text1"/>
          <w:kern w:val="0"/>
          <w:sz w:val="30"/>
          <w:szCs w:val="30"/>
          <w:lang w:val="en-US" w:eastAsia="zh-CN"/>
          <w14:textFill>
            <w14:solidFill>
              <w14:schemeClr w14:val="tx1"/>
            </w14:solidFill>
          </w14:textFill>
        </w:rPr>
        <w:t>XX</w:t>
      </w:r>
      <w:r>
        <w:rPr>
          <w:rFonts w:hint="eastAsia" w:ascii="仿宋_GB2312" w:hAnsi="Times New Roman" w:eastAsia="仿宋_GB2312"/>
          <w:color w:val="000000" w:themeColor="text1"/>
          <w:kern w:val="0"/>
          <w:sz w:val="30"/>
          <w:szCs w:val="30"/>
          <w14:textFill>
            <w14:solidFill>
              <w14:schemeClr w14:val="tx1"/>
            </w14:solidFill>
          </w14:textFill>
        </w:rPr>
        <w:t>生态环境局</w:t>
      </w:r>
    </w:p>
    <w:p>
      <w:pPr>
        <w:spacing w:line="520" w:lineRule="exact"/>
        <w:ind w:firstLine="549" w:firstLineChars="183"/>
        <w:jc w:val="center"/>
        <w:rPr>
          <w:rFonts w:ascii="仿宋" w:hAnsi="仿宋" w:eastAsia="仿宋" w:cs="仿宋"/>
          <w:color w:val="000000" w:themeColor="text1"/>
          <w:sz w:val="30"/>
          <w:szCs w:val="30"/>
          <w14:textFill>
            <w14:solidFill>
              <w14:schemeClr w14:val="tx1"/>
            </w14:solidFill>
          </w14:textFill>
        </w:rPr>
      </w:pPr>
      <w:r>
        <w:rPr>
          <w:rFonts w:ascii="仿宋_GB2312" w:hAnsi="Times New Roman" w:eastAsia="仿宋_GB2312"/>
          <w:color w:val="000000" w:themeColor="text1"/>
          <w:kern w:val="0"/>
          <w:sz w:val="30"/>
          <w:szCs w:val="30"/>
          <w14:textFill>
            <w14:solidFill>
              <w14:schemeClr w14:val="tx1"/>
            </w14:solidFill>
          </w14:textFill>
        </w:rPr>
        <w:t xml:space="preserve">                       </w:t>
      </w:r>
      <w:r>
        <w:rPr>
          <w:rFonts w:hint="eastAsia" w:ascii="仿宋_GB2312" w:hAnsi="Times New Roman" w:eastAsia="仿宋_GB2312"/>
          <w:color w:val="000000" w:themeColor="text1"/>
          <w:kern w:val="0"/>
          <w:sz w:val="30"/>
          <w:szCs w:val="30"/>
          <w:lang w:val="en-US" w:eastAsia="zh-CN"/>
          <w14:textFill>
            <w14:solidFill>
              <w14:schemeClr w14:val="tx1"/>
            </w14:solidFill>
          </w14:textFill>
        </w:rPr>
        <w:t xml:space="preserve">  </w:t>
      </w:r>
      <w:r>
        <w:rPr>
          <w:rFonts w:hint="eastAsia" w:hAnsi="Times New Roman" w:eastAsia="仿宋_GB2312"/>
          <w:color w:val="000000" w:themeColor="text1"/>
          <w:kern w:val="0"/>
          <w:sz w:val="30"/>
          <w:szCs w:val="30"/>
          <w:lang w:val="en-US" w:eastAsia="zh-CN"/>
          <w14:textFill>
            <w14:solidFill>
              <w14:schemeClr w14:val="tx1"/>
            </w14:solidFill>
          </w14:textFill>
        </w:rPr>
        <w:t xml:space="preserve"> </w:t>
      </w:r>
      <w:r>
        <w:rPr>
          <w:rFonts w:hint="eastAsia" w:ascii="仿宋_GB2312" w:hAnsi="Times New Roman" w:eastAsia="仿宋_GB2312"/>
          <w:color w:val="000000" w:themeColor="text1"/>
          <w:kern w:val="0"/>
          <w:sz w:val="30"/>
          <w:szCs w:val="30"/>
          <w:lang w:val="en-US" w:eastAsia="zh-CN"/>
          <w14:textFill>
            <w14:solidFill>
              <w14:schemeClr w14:val="tx1"/>
            </w14:solidFill>
          </w14:textFill>
        </w:rPr>
        <w:t xml:space="preserve"> </w:t>
      </w:r>
      <w:r>
        <w:rPr>
          <w:rFonts w:ascii="仿宋_GB2312" w:hAnsi="Times New Roman" w:eastAsia="仿宋_GB2312"/>
          <w:color w:val="000000" w:themeColor="text1"/>
          <w:kern w:val="0"/>
          <w:sz w:val="30"/>
          <w:szCs w:val="30"/>
          <w14:textFill>
            <w14:solidFill>
              <w14:schemeClr w14:val="tx1"/>
            </w14:solidFill>
          </w14:textFill>
        </w:rPr>
        <w:t>202</w:t>
      </w:r>
      <w:r>
        <w:rPr>
          <w:rFonts w:ascii="仿宋_GB2312" w:hAnsi="仿宋" w:eastAsia="仿宋_GB2312"/>
          <w:color w:val="000000" w:themeColor="text1"/>
          <w:sz w:val="30"/>
          <w:szCs w:val="30"/>
          <w14:textFill>
            <w14:solidFill>
              <w14:schemeClr w14:val="tx1"/>
            </w14:solidFill>
          </w14:textFill>
        </w:rPr>
        <w:t>X</w:t>
      </w:r>
      <w:r>
        <w:rPr>
          <w:rFonts w:hint="eastAsia" w:ascii="仿宋_GB2312" w:hAnsi="Times New Roman" w:eastAsia="仿宋_GB2312"/>
          <w:color w:val="000000" w:themeColor="text1"/>
          <w:kern w:val="0"/>
          <w:sz w:val="30"/>
          <w:szCs w:val="30"/>
          <w14:textFill>
            <w14:solidFill>
              <w14:schemeClr w14:val="tx1"/>
            </w14:solidFill>
          </w14:textFill>
        </w:rPr>
        <w:t>年</w:t>
      </w:r>
      <w:r>
        <w:rPr>
          <w:rFonts w:ascii="仿宋_GB2312" w:hAnsi="仿宋" w:eastAsia="仿宋_GB2312"/>
          <w:color w:val="000000" w:themeColor="text1"/>
          <w:sz w:val="30"/>
          <w:szCs w:val="30"/>
          <w14:textFill>
            <w14:solidFill>
              <w14:schemeClr w14:val="tx1"/>
            </w14:solidFill>
          </w14:textFill>
        </w:rPr>
        <w:t>X</w:t>
      </w:r>
      <w:r>
        <w:rPr>
          <w:rFonts w:hint="eastAsia" w:ascii="仿宋_GB2312" w:hAnsi="Times New Roman" w:eastAsia="仿宋_GB2312"/>
          <w:color w:val="000000" w:themeColor="text1"/>
          <w:kern w:val="0"/>
          <w:sz w:val="30"/>
          <w:szCs w:val="30"/>
          <w14:textFill>
            <w14:solidFill>
              <w14:schemeClr w14:val="tx1"/>
            </w14:solidFill>
          </w14:textFill>
        </w:rPr>
        <w:t>月</w:t>
      </w:r>
      <w:r>
        <w:rPr>
          <w:rFonts w:ascii="仿宋_GB2312" w:hAnsi="仿宋" w:eastAsia="仿宋_GB2312"/>
          <w:color w:val="000000" w:themeColor="text1"/>
          <w:sz w:val="30"/>
          <w:szCs w:val="30"/>
          <w14:textFill>
            <w14:solidFill>
              <w14:schemeClr w14:val="tx1"/>
            </w14:solidFill>
          </w14:textFill>
        </w:rPr>
        <w:t>XX</w:t>
      </w:r>
      <w:r>
        <w:rPr>
          <w:rFonts w:hint="eastAsia" w:ascii="仿宋_GB2312" w:hAnsi="Times New Roman" w:eastAsia="仿宋_GB2312"/>
          <w:color w:val="000000" w:themeColor="text1"/>
          <w:kern w:val="0"/>
          <w:sz w:val="30"/>
          <w:szCs w:val="30"/>
          <w14:textFill>
            <w14:solidFill>
              <w14:schemeClr w14:val="tx1"/>
            </w14:solidFill>
          </w14:textFill>
        </w:rPr>
        <w:t>日</w:t>
      </w:r>
      <w:r>
        <w:rPr>
          <w:rFonts w:ascii="仿宋" w:hAnsi="仿宋" w:eastAsia="仿宋" w:cs="仿宋"/>
          <w:color w:val="000000" w:themeColor="text1"/>
          <w:sz w:val="30"/>
          <w:szCs w:val="30"/>
          <w14:textFill>
            <w14:solidFill>
              <w14:schemeClr w14:val="tx1"/>
            </w14:solidFill>
          </w14:textFill>
        </w:rPr>
        <w:t xml:space="preserve"> </w:t>
      </w:r>
    </w:p>
    <w:p>
      <w:pPr>
        <w:pStyle w:val="2"/>
        <w:rPr>
          <w:rFonts w:ascii="仿宋" w:hAnsi="仿宋" w:eastAsia="仿宋" w:cs="仿宋"/>
          <w:color w:val="000000" w:themeColor="text1"/>
          <w:sz w:val="30"/>
          <w:szCs w:val="30"/>
          <w14:textFill>
            <w14:solidFill>
              <w14:schemeClr w14:val="tx1"/>
            </w14:solidFill>
          </w14:textFill>
        </w:rPr>
      </w:pPr>
    </w:p>
    <w:p>
      <w:pPr>
        <w:rPr>
          <w:rFonts w:ascii="仿宋" w:hAnsi="仿宋" w:eastAsia="仿宋" w:cs="仿宋"/>
          <w:color w:val="000000" w:themeColor="text1"/>
          <w:sz w:val="30"/>
          <w:szCs w:val="30"/>
          <w14:textFill>
            <w14:solidFill>
              <w14:schemeClr w14:val="tx1"/>
            </w14:solidFill>
          </w14:textFill>
        </w:rPr>
      </w:pPr>
    </w:p>
    <w:p>
      <w:pPr>
        <w:pStyle w:val="2"/>
        <w:rPr>
          <w:rFonts w:ascii="仿宋" w:hAnsi="仿宋" w:eastAsia="仿宋" w:cs="仿宋"/>
          <w:color w:val="000000" w:themeColor="text1"/>
          <w:sz w:val="30"/>
          <w:szCs w:val="30"/>
          <w14:textFill>
            <w14:solidFill>
              <w14:schemeClr w14:val="tx1"/>
            </w14:solidFill>
          </w14:textFill>
        </w:rPr>
      </w:pPr>
    </w:p>
    <w:p>
      <w:pPr>
        <w:pStyle w:val="2"/>
        <w:ind w:firstLine="0"/>
        <w:rPr>
          <w:rFonts w:ascii="仿宋" w:hAnsi="仿宋" w:eastAsia="仿宋" w:cs="仿宋"/>
          <w:color w:val="000000" w:themeColor="text1"/>
          <w:sz w:val="30"/>
          <w:szCs w:val="30"/>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pPr>
    </w:p>
    <w:p>
      <w:pPr>
        <w:pStyle w:val="2"/>
        <w:rPr>
          <w:color w:val="000000" w:themeColor="text1"/>
          <w14:textFill>
            <w14:solidFill>
              <w14:schemeClr w14:val="tx1"/>
            </w14:solidFill>
          </w14:textFill>
        </w:rPr>
      </w:pPr>
    </w:p>
    <w:p>
      <w:pPr>
        <w:spacing w:line="560" w:lineRule="exact"/>
        <w:ind w:left="1246" w:leftChars="130" w:hanging="882" w:hangingChars="294"/>
        <w:jc w:val="left"/>
        <w:rPr>
          <w:rFonts w:ascii="仿宋_GB2312" w:hAnsi="仿宋_GB2312" w:eastAsia="仿宋_GB2312" w:cs="仿宋_GB2312"/>
          <w:color w:val="000000" w:themeColor="text1"/>
          <w:spacing w:val="-8"/>
          <w:sz w:val="30"/>
          <w:szCs w:val="30"/>
          <w14:textFill>
            <w14:solidFill>
              <w14:schemeClr w14:val="tx1"/>
            </w14:solidFill>
          </w14:textFill>
        </w:rPr>
      </w:pPr>
      <w:r>
        <w:rPr>
          <w:color w:val="000000" w:themeColor="text1"/>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40005</wp:posOffset>
                </wp:positionV>
                <wp:extent cx="5631180"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31180" cy="825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1pt;margin-top:3.15pt;height:0.65pt;width:443.4pt;z-index:251663360;mso-width-relative:page;mso-height-relative:page;" filled="f" stroked="t" coordsize="21600,21600" o:gfxdata="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cB/HdQAAAAEAQAADwAAAAAAAAABACAAAAA4AAAAZHJzL2Rvd25yZXYueG1sUEsBAhQAFAAA&#10;AAgAh07iQAyCcTrdAQAAnAMAAA4AAAAAAAAAAQAgAAAAO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30"/>
          <w:szCs w:val="30"/>
          <w14:textFill>
            <w14:solidFill>
              <w14:schemeClr w14:val="tx1"/>
            </w14:solidFill>
          </w14:textFill>
        </w:rPr>
        <w:t>抄送：</w:t>
      </w:r>
      <w:r>
        <w:rPr>
          <w:rFonts w:hint="eastAsia" w:hAnsi="仿宋_GB2312" w:eastAsia="仿宋_GB2312" w:cs="仿宋_GB2312"/>
          <w:color w:val="000000" w:themeColor="text1"/>
          <w:sz w:val="30"/>
          <w:szCs w:val="30"/>
          <w:lang w:eastAsia="zh-CN"/>
          <w14:textFill>
            <w14:solidFill>
              <w14:schemeClr w14:val="tx1"/>
            </w14:solidFill>
          </w14:textFill>
        </w:rPr>
        <w:t>市生态环境局，</w:t>
      </w:r>
      <w:r>
        <w:rPr>
          <w:rFonts w:hint="eastAsia" w:ascii="仿宋_GB2312" w:hAnsi="仿宋_GB2312" w:eastAsia="仿宋_GB2312" w:cs="仿宋_GB2312"/>
          <w:color w:val="000000" w:themeColor="text1"/>
          <w:sz w:val="30"/>
          <w:szCs w:val="30"/>
          <w:highlight w:val="none"/>
          <w14:textFill>
            <w14:solidFill>
              <w14:schemeClr w14:val="tx1"/>
            </w14:solidFill>
          </w14:textFill>
        </w:rPr>
        <w:t>市</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生态</w:t>
      </w:r>
      <w:r>
        <w:rPr>
          <w:rFonts w:hint="eastAsia" w:ascii="仿宋_GB2312" w:hAnsi="仿宋_GB2312" w:eastAsia="仿宋_GB2312" w:cs="仿宋_GB2312"/>
          <w:color w:val="000000" w:themeColor="text1"/>
          <w:sz w:val="30"/>
          <w:szCs w:val="30"/>
          <w:highlight w:val="none"/>
          <w14:textFill>
            <w14:solidFill>
              <w14:schemeClr w14:val="tx1"/>
            </w14:solidFill>
          </w14:textFill>
        </w:rPr>
        <w:t>环境</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保护综合执法</w:t>
      </w:r>
      <w:r>
        <w:rPr>
          <w:rFonts w:hint="eastAsia" w:ascii="仿宋_GB2312" w:hAnsi="仿宋_GB2312" w:eastAsia="仿宋_GB2312" w:cs="仿宋_GB2312"/>
          <w:color w:val="000000" w:themeColor="text1"/>
          <w:sz w:val="30"/>
          <w:szCs w:val="30"/>
          <w:highlight w:val="none"/>
          <w14:textFill>
            <w14:solidFill>
              <w14:schemeClr w14:val="tx1"/>
            </w14:solidFill>
          </w14:textFill>
        </w:rPr>
        <w:t>支队</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XX大队，</w:t>
      </w:r>
      <w:r>
        <w:rPr>
          <w:rFonts w:hint="eastAsia" w:hAnsi="仿宋_GB2312" w:eastAsia="仿宋_GB2312" w:cs="仿宋_GB2312"/>
          <w:color w:val="000000" w:themeColor="text1"/>
          <w:sz w:val="30"/>
          <w:szCs w:val="30"/>
          <w:lang w:val="en-US" w:eastAsia="zh-CN"/>
          <w14:textFill>
            <w14:solidFill>
              <w14:schemeClr w14:val="tx1"/>
            </w14:solidFill>
          </w14:textFill>
        </w:rPr>
        <w:t>XX园区管委会/**镇人民政府</w:t>
      </w:r>
      <w:r>
        <w:rPr>
          <w:rFonts w:hint="eastAsia" w:ascii="仿宋_GB2312" w:hAnsi="仿宋_GB2312" w:eastAsia="仿宋_GB2312" w:cs="仿宋_GB2312"/>
          <w:color w:val="000000" w:themeColor="text1"/>
          <w:sz w:val="30"/>
          <w:szCs w:val="30"/>
          <w14:textFill>
            <w14:solidFill>
              <w14:schemeClr w14:val="tx1"/>
            </w14:solidFill>
          </w14:textFill>
        </w:rPr>
        <w:t>。</w:t>
      </w:r>
    </w:p>
    <w:p>
      <w:pPr>
        <w:tabs>
          <w:tab w:val="left" w:pos="0"/>
          <w:tab w:val="left" w:pos="360"/>
        </w:tabs>
        <w:spacing w:line="560" w:lineRule="exact"/>
        <w:jc w:val="left"/>
        <w:rPr>
          <w:rFonts w:ascii="仿宋_GB2312" w:hAnsi="仿宋_GB2312" w:eastAsia="仿宋_GB2312" w:cs="仿宋_GB2312"/>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346075</wp:posOffset>
                </wp:positionV>
                <wp:extent cx="5593715" cy="698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3715" cy="698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pt;margin-top:27.25pt;height:0.55pt;width:440.45pt;z-index:251662336;mso-width-relative:page;mso-height-relative:page;" filled="f" stroked="t" coordsize="21600,21600" o:gfxdata="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7SU9W1QAAAAcBAAAPAAAAAAAAAAEAIAAAADgAAABkcnMvZG93bnJldi54bWxQSwECFAAU&#10;AAAACACHTuJAhdKcH94BAACcAwAADgAAAAAAAAABACAAAAA6AQAAZHJzL2Uyb0RvYy54bWxQSwUG&#10;AAAAAAYABgBZAQAAigUAAAAA&#10;">
                <v:fill on="f" focussize="0,0"/>
                <v:stroke color="#000000" joinstyle="round"/>
                <v:imagedata o:title=""/>
                <o:lock v:ext="edit" aspectratio="f"/>
              </v:line>
            </w:pict>
          </mc:Fallback>
        </mc:AlternateContent>
      </w:r>
      <w:r>
        <w:rPr>
          <w:color w:val="000000" w:themeColor="text1"/>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16510</wp:posOffset>
                </wp:positionV>
                <wp:extent cx="5603875"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875" cy="25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5pt;margin-top:1.3pt;height:0.2pt;width:441.25pt;z-index:251661312;mso-width-relative:page;mso-height-relative:page;" filled="f" stroked="t" coordsize="21600,21600" o:gfxdata="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CAwePTAAAABQEAAA8AAAAAAAAAAQAgAAAAOAAAAGRycy9kb3ducmV2LnhtbFBLAQIU&#10;ABQAAAAIAIdO4kBehAWH4gEAAJwDAAAOAAAAAAAAAAEAIAAAADgBAABkcnMvZTJvRG9jLnhtbFBL&#10;BQYAAAAABgAGAFkBAACMBQAAAAA=&#10;">
                <v:fill on="f" focussize="0,0"/>
                <v:stroke color="#000000" joinstyle="round"/>
                <v:imagedata o:title=""/>
                <o:lock v:ext="edit" aspectratio="f"/>
              </v:line>
            </w:pict>
          </mc:Fallback>
        </mc:AlternateContent>
      </w:r>
      <w:r>
        <w:rPr>
          <w:rFonts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莆田市</w:t>
      </w:r>
      <w:r>
        <w:rPr>
          <w:rFonts w:hint="eastAsia"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生态环境局</w:t>
      </w:r>
      <w:r>
        <w:rPr>
          <w:rFonts w:hint="eastAsia" w:ascii="仿宋_GB2312" w:hAnsi="仿宋_GB2312" w:eastAsia="仿宋_GB2312" w:cs="仿宋_GB2312"/>
          <w:color w:val="000000" w:themeColor="text1"/>
          <w:sz w:val="30"/>
          <w:szCs w:val="30"/>
          <w:lang w:eastAsia="zh-CN"/>
          <w14:textFill>
            <w14:solidFill>
              <w14:schemeClr w14:val="tx1"/>
            </w14:solidFill>
          </w14:textFill>
        </w:rPr>
        <w:t>办公室</w:t>
      </w:r>
      <w:r>
        <w:rPr>
          <w:rFonts w:hint="eastAsia" w:ascii="仿宋_GB2312" w:hAnsi="仿宋_GB2312" w:eastAsia="仿宋_GB2312" w:cs="仿宋_GB2312"/>
          <w:color w:val="000000" w:themeColor="text1"/>
          <w:sz w:val="30"/>
          <w:szCs w:val="30"/>
          <w14:textFill>
            <w14:solidFill>
              <w14:schemeClr w14:val="tx1"/>
            </w14:solidFill>
          </w14:textFill>
        </w:rPr>
        <w:t>　</w:t>
      </w:r>
      <w:r>
        <w:rPr>
          <w:rFonts w:ascii="仿宋_GB2312" w:hAnsi="仿宋_GB2312" w:eastAsia="仿宋_GB2312" w:cs="仿宋_GB2312"/>
          <w:color w:val="000000" w:themeColor="text1"/>
          <w:sz w:val="30"/>
          <w:szCs w:val="30"/>
          <w14:textFill>
            <w14:solidFill>
              <w14:schemeClr w14:val="tx1"/>
            </w14:solidFill>
          </w14:textFill>
        </w:rPr>
        <w:t xml:space="preserve">          202</w:t>
      </w:r>
      <w:r>
        <w:rPr>
          <w:rFonts w:ascii="仿宋_GB2312" w:hAnsi="仿宋" w:eastAsia="仿宋_GB2312"/>
          <w:color w:val="000000" w:themeColor="text1"/>
          <w:sz w:val="30"/>
          <w:szCs w:val="30"/>
          <w14:textFill>
            <w14:solidFill>
              <w14:schemeClr w14:val="tx1"/>
            </w14:solidFill>
          </w14:textFill>
        </w:rPr>
        <w:t>X</w:t>
      </w:r>
      <w:r>
        <w:rPr>
          <w:rFonts w:hint="eastAsia" w:ascii="仿宋_GB2312" w:hAnsi="仿宋_GB2312" w:eastAsia="仿宋_GB2312" w:cs="仿宋_GB2312"/>
          <w:color w:val="000000" w:themeColor="text1"/>
          <w:sz w:val="30"/>
          <w:szCs w:val="30"/>
          <w14:textFill>
            <w14:solidFill>
              <w14:schemeClr w14:val="tx1"/>
            </w14:solidFill>
          </w14:textFill>
        </w:rPr>
        <w:t>年</w:t>
      </w:r>
      <w:r>
        <w:rPr>
          <w:rFonts w:ascii="仿宋_GB2312" w:hAnsi="仿宋" w:eastAsia="仿宋_GB2312"/>
          <w:color w:val="000000" w:themeColor="text1"/>
          <w:sz w:val="30"/>
          <w:szCs w:val="30"/>
          <w14:textFill>
            <w14:solidFill>
              <w14:schemeClr w14:val="tx1"/>
            </w14:solidFill>
          </w14:textFill>
        </w:rPr>
        <w:t>X</w:t>
      </w:r>
      <w:r>
        <w:rPr>
          <w:rFonts w:hint="eastAsia" w:ascii="仿宋_GB2312" w:hAnsi="仿宋_GB2312" w:eastAsia="仿宋_GB2312" w:cs="仿宋_GB2312"/>
          <w:color w:val="000000" w:themeColor="text1"/>
          <w:sz w:val="30"/>
          <w:szCs w:val="30"/>
          <w14:textFill>
            <w14:solidFill>
              <w14:schemeClr w14:val="tx1"/>
            </w14:solidFill>
          </w14:textFill>
        </w:rPr>
        <w:t>月</w:t>
      </w:r>
      <w:r>
        <w:rPr>
          <w:rFonts w:ascii="仿宋_GB2312" w:hAnsi="仿宋" w:eastAsia="仿宋_GB2312"/>
          <w:color w:val="000000" w:themeColor="text1"/>
          <w:sz w:val="30"/>
          <w:szCs w:val="30"/>
          <w14:textFill>
            <w14:solidFill>
              <w14:schemeClr w14:val="tx1"/>
            </w14:solidFill>
          </w14:textFill>
        </w:rPr>
        <w:t>XX</w:t>
      </w:r>
      <w:r>
        <w:rPr>
          <w:rFonts w:hint="eastAsia" w:ascii="仿宋_GB2312" w:hAnsi="仿宋_GB2312" w:eastAsia="仿宋_GB2312" w:cs="仿宋_GB2312"/>
          <w:color w:val="000000" w:themeColor="text1"/>
          <w:sz w:val="30"/>
          <w:szCs w:val="30"/>
          <w14:textFill>
            <w14:solidFill>
              <w14:schemeClr w14:val="tx1"/>
            </w14:solidFill>
          </w14:textFill>
        </w:rPr>
        <w:t>日印发</w:t>
      </w:r>
    </w:p>
    <w:p>
      <w:pPr>
        <w:adjustRightInd w:val="0"/>
        <w:snapToGrid w:val="0"/>
        <w:spacing w:line="560" w:lineRule="exact"/>
        <w:jc w:val="both"/>
        <w:rPr>
          <w:rFonts w:hint="eastAsia" w:ascii="方正小标宋简体" w:hAnsi="华文中宋" w:eastAsia="方正小标宋简体"/>
          <w:bCs/>
          <w:color w:val="000000" w:themeColor="text1"/>
          <w:kern w:val="0"/>
          <w:sz w:val="30"/>
          <w:szCs w:val="30"/>
          <w:lang w:val="en-US" w:eastAsia="zh-CN"/>
          <w14:textFill>
            <w14:solidFill>
              <w14:schemeClr w14:val="tx1"/>
            </w14:solidFill>
          </w14:textFill>
        </w:rPr>
        <w:sectPr>
          <w:headerReference r:id="rId3" w:type="default"/>
          <w:footerReference r:id="rId4" w:type="default"/>
          <w:pgSz w:w="11906" w:h="16838"/>
          <w:pgMar w:top="1928" w:right="1587" w:bottom="1701" w:left="1587" w:header="851" w:footer="992" w:gutter="0"/>
          <w:pgNumType w:fmt="numberInDash"/>
          <w:cols w:space="425" w:num="1"/>
          <w:docGrid w:type="lines" w:linePitch="312" w:charSpace="0"/>
        </w:sectPr>
      </w:pPr>
    </w:p>
    <w:p>
      <w:pPr>
        <w:adjustRightInd w:val="0"/>
        <w:snapToGrid w:val="0"/>
        <w:spacing w:line="59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 xml:space="preserve">5  </w:t>
      </w:r>
      <w:r>
        <w:rPr>
          <w:rFonts w:hint="eastAsia" w:ascii="黑体" w:hAnsi="黑体" w:eastAsia="黑体" w:cs="黑体"/>
          <w:color w:val="000000" w:themeColor="text1"/>
          <w:sz w:val="32"/>
          <w:szCs w:val="32"/>
          <w:lang w:eastAsia="zh-CN"/>
          <w14:textFill>
            <w14:solidFill>
              <w14:schemeClr w14:val="tx1"/>
            </w14:solidFill>
          </w14:textFill>
        </w:rPr>
        <w:t>环境准入指引</w:t>
      </w:r>
    </w:p>
    <w:p>
      <w:pPr>
        <w:spacing w:line="360" w:lineRule="auto"/>
        <w:jc w:val="center"/>
        <w:rPr>
          <w:rFonts w:hint="eastAsia" w:ascii="Times New Roman" w:hAnsi="Times New Roman" w:cs="Times New Roman"/>
          <w:b/>
          <w:bCs/>
          <w:color w:val="000000" w:themeColor="text1"/>
          <w:kern w:val="0"/>
          <w:sz w:val="32"/>
          <w:szCs w:val="32"/>
          <w:lang w:val="en-US" w:eastAsia="zh-CN"/>
          <w14:textFill>
            <w14:solidFill>
              <w14:schemeClr w14:val="tx1"/>
            </w14:solidFill>
          </w14:textFill>
        </w:rPr>
      </w:pP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表1 莆田市制鞋业（年用溶剂型处理剂3吨及以上的）环境准入指引</w:t>
      </w:r>
    </w:p>
    <w:tbl>
      <w:tblPr>
        <w:tblStyle w:val="17"/>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56"/>
        <w:gridCol w:w="2313"/>
        <w:gridCol w:w="405"/>
        <w:gridCol w:w="3125"/>
        <w:gridCol w:w="2108"/>
        <w:gridCol w:w="229"/>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34" w:type="dxa"/>
            <w:gridSpan w:val="8"/>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一</w:t>
            </w:r>
            <w:r>
              <w:rPr>
                <w:rFonts w:hint="eastAsia" w:ascii="Times New Roman" w:hAnsi="Times New Roman" w:cs="Times New Roman"/>
                <w:b/>
                <w:bCs/>
                <w:color w:val="000000" w:themeColor="text1"/>
                <w:sz w:val="24"/>
                <w:szCs w:val="24"/>
                <w14:textFill>
                  <w14:solidFill>
                    <w14:schemeClr w14:val="tx1"/>
                  </w14:solidFill>
                </w14:textFill>
              </w:rPr>
              <w:t>、选址布局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934" w:type="dxa"/>
            <w:gridSpan w:val="8"/>
            <w:vAlign w:val="center"/>
          </w:tcPr>
          <w:p>
            <w:pP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w:t>
            </w:r>
            <w:r>
              <w:rPr>
                <w:rFonts w:hint="eastAsia" w:ascii="Times New Roman" w:hAnsi="Times New Roman" w:cs="Times New Roman"/>
                <w:color w:val="000000" w:themeColor="text1"/>
                <w:sz w:val="24"/>
                <w:szCs w:val="24"/>
                <w:lang w:eastAsia="zh-CN"/>
                <w14:textFill>
                  <w14:solidFill>
                    <w14:schemeClr w14:val="tx1"/>
                  </w14:solidFill>
                </w14:textFill>
              </w:rPr>
              <w:t>符合省、市级生态环境分区管控要求；</w:t>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（二）符合</w:t>
            </w:r>
            <w:r>
              <w:rPr>
                <w:rFonts w:hint="eastAsia" w:ascii="Times New Roman" w:hAnsi="Times New Roman" w:cs="Times New Roman"/>
                <w:color w:val="000000" w:themeColor="text1"/>
                <w:sz w:val="24"/>
                <w:szCs w:val="24"/>
                <w:lang w:eastAsia="zh-CN"/>
                <w14:textFill>
                  <w14:solidFill>
                    <w14:schemeClr w14:val="tx1"/>
                  </w14:solidFill>
                </w14:textFill>
              </w:rPr>
              <w:t>园区规划及规划环评要求。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34" w:type="dxa"/>
            <w:gridSpan w:val="8"/>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30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3530"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337"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746"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执行标准</w:t>
            </w:r>
          </w:p>
        </w:tc>
        <w:tc>
          <w:tcPr>
            <w:tcW w:w="3069"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《大气污染物综合排放标准》（GB16297-1996）；《挥发性有机物无组织排放控制标准》（</w:t>
            </w:r>
            <w:r>
              <w:rPr>
                <w:rFonts w:hint="eastAsia"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GB 37822-2019</w:t>
            </w: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w:t>
            </w:r>
          </w:p>
        </w:tc>
        <w:tc>
          <w:tcPr>
            <w:tcW w:w="3530"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《污水综合排放标准》（GB8978-1996）表4中的三级标准；《污水排入城镇下水道水质标准》（GB/T31962-2015）B等级标准</w:t>
            </w:r>
          </w:p>
        </w:tc>
        <w:tc>
          <w:tcPr>
            <w:tcW w:w="2337"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《工业企业厂界环境噪声排放标准》（GB12348-2008）</w:t>
            </w:r>
          </w:p>
        </w:tc>
        <w:tc>
          <w:tcPr>
            <w:tcW w:w="2746"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《一般工业固体废物贮存和填埋污染控制标准》（GB18599-2020）《危险废物贮存污染控制标准》（GB18597-2023）要求。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934" w:type="dxa"/>
            <w:gridSpan w:val="8"/>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三、污染防治可行技术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污染物种类</w:t>
            </w:r>
          </w:p>
        </w:tc>
        <w:tc>
          <w:tcPr>
            <w:tcW w:w="271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主要污染物项目</w:t>
            </w:r>
          </w:p>
        </w:tc>
        <w:tc>
          <w:tcPr>
            <w:tcW w:w="5233"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可行技术</w:t>
            </w:r>
          </w:p>
        </w:tc>
        <w:tc>
          <w:tcPr>
            <w:tcW w:w="2975"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0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271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颗粒物</w:t>
            </w:r>
          </w:p>
        </w:tc>
        <w:tc>
          <w:tcPr>
            <w:tcW w:w="5233"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袋式除尘、静电除尘</w:t>
            </w:r>
          </w:p>
        </w:tc>
        <w:tc>
          <w:tcPr>
            <w:tcW w:w="2975" w:type="dxa"/>
            <w:gridSpan w:val="2"/>
            <w:vAlign w:val="center"/>
          </w:tcPr>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71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苯、甲苯、二甲苯、非甲烷总烃</w:t>
            </w:r>
          </w:p>
        </w:tc>
        <w:tc>
          <w:tcPr>
            <w:tcW w:w="5233"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水基型胶粘剂源头替代、吸附法、生物法、吸附法与低温等离子体法或光催化氧化法组合使用</w:t>
            </w:r>
          </w:p>
        </w:tc>
        <w:tc>
          <w:tcPr>
            <w:tcW w:w="2975"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71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 值、悬浮物、五日生</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化需氧量、化学需氧量、</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氨氮、总氮、总磷</w:t>
            </w:r>
          </w:p>
        </w:tc>
        <w:tc>
          <w:tcPr>
            <w:tcW w:w="5233"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一级处理（过滤、沉淀、气浮、其他），二级处理（A/O、SBR、氧化沟、生物转盘、生物接触氧化、流化床、其他）</w:t>
            </w:r>
          </w:p>
        </w:tc>
        <w:tc>
          <w:tcPr>
            <w:tcW w:w="2975" w:type="dxa"/>
            <w:gridSpan w:val="2"/>
            <w:vAlign w:val="center"/>
          </w:tcPr>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不外排/城镇污水处理设施/工业废水集中处理设施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71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8208" w:type="dxa"/>
            <w:gridSpan w:val="4"/>
            <w:vAlign w:val="center"/>
          </w:tcPr>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基础减振、隔声间、隔声屏障、厂房隔声</w:t>
            </w:r>
            <w:r>
              <w:rPr>
                <w:rFonts w:hint="eastAsia" w:ascii="Times New Roman" w:hAnsi="Times New Roman" w:cs="Times New Roman"/>
                <w:color w:val="000000" w:themeColor="text1"/>
                <w:kern w:val="0"/>
                <w:sz w:val="24"/>
                <w:szCs w:val="24"/>
                <w14:textFill>
                  <w14:solidFill>
                    <w14:schemeClr w14:val="tx1"/>
                  </w14:solidFill>
                </w14:textFill>
              </w:rPr>
              <w:t>设备基础加固</w:t>
            </w:r>
            <w:r>
              <w:rPr>
                <w:rFonts w:hint="eastAsia" w:ascii="Times New Roman" w:hAnsi="Times New Roman" w:cs="Times New Roman"/>
                <w:color w:val="000000" w:themeColor="text1"/>
                <w:kern w:val="0"/>
                <w:sz w:val="24"/>
                <w:szCs w:val="24"/>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934" w:type="dxa"/>
            <w:gridSpan w:val="8"/>
            <w:vAlign w:val="center"/>
          </w:tcPr>
          <w:p>
            <w:pPr>
              <w:jc w:val="both"/>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四、污染防控技术要求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934" w:type="dxa"/>
            <w:gridSpan w:val="8"/>
            <w:vAlign w:val="center"/>
          </w:tcPr>
          <w:p>
            <w:pPr>
              <w:jc w:val="left"/>
              <w:rPr>
                <w:rFonts w:hint="eastAsia"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一</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14:textFill>
                  <w14:solidFill>
                    <w14:schemeClr w14:val="tx1"/>
                  </w14:solidFill>
                </w14:textFill>
              </w:rPr>
              <w:t xml:space="preserve"> 废气</w:t>
            </w:r>
          </w:p>
          <w:p>
            <w:pPr>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kern w:val="0"/>
                <w:sz w:val="24"/>
                <w:szCs w:val="24"/>
                <w14:textFill>
                  <w14:solidFill>
                    <w14:schemeClr w14:val="tx1"/>
                  </w14:solidFill>
                </w14:textFill>
              </w:rPr>
              <w:t>加强源头替代，在满足产品质量需求的前提下，积极采用水基型胶粘剂替代溶剂型胶粘剂。</w:t>
            </w:r>
          </w:p>
          <w:p>
            <w:pPr>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kern w:val="0"/>
                <w:sz w:val="24"/>
                <w:szCs w:val="24"/>
                <w:lang w:eastAsia="zh-CN"/>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eastAsia="zh-CN"/>
                <w14:textFill>
                  <w14:solidFill>
                    <w14:schemeClr w14:val="tx1"/>
                  </w14:solidFill>
                </w14:textFill>
              </w:rPr>
              <w:t>）刷胶黏剂、刷处理剂、喷光等环节废气应集中收集，由密闭排气系统导入废气处理设施，并通过排气筒排放。</w:t>
            </w:r>
          </w:p>
          <w:p>
            <w:pPr>
              <w:ind w:firstLine="0" w:firstLineChars="0"/>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（3）采用活性炭吸附处理工艺的，当排气浓度不能满足设计或排放要求时应更换活性炭。</w:t>
            </w:r>
          </w:p>
          <w:p>
            <w:pPr>
              <w:ind w:firstLine="0" w:firstLineChars="0"/>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（4）</w:t>
            </w:r>
            <w:r>
              <w:rPr>
                <w:rFonts w:hint="eastAsia" w:ascii="Times New Roman" w:hAnsi="Times New Roman" w:cs="Times New Roman"/>
                <w:color w:val="000000" w:themeColor="text1"/>
                <w:kern w:val="0"/>
                <w:sz w:val="24"/>
                <w:szCs w:val="24"/>
                <w14:textFill>
                  <w14:solidFill>
                    <w14:schemeClr w14:val="tx1"/>
                  </w14:solidFill>
                </w14:textFill>
              </w:rPr>
              <w:t>溶剂型胶粘剂、溶剂型处理剂等含 VOCs 的物料应储存于密闭的容器、包装袋、储库、料仓中；盛装 VOCs 物料的容器或包装袋应放于具有防渗设施的室内或专用场地，在非取用状态</w:t>
            </w:r>
            <w:r>
              <w:rPr>
                <w:rFonts w:hint="eastAsia" w:ascii="Times New Roman" w:hAnsi="Times New Roman" w:cs="Times New Roman"/>
                <w:color w:val="000000" w:themeColor="text1"/>
                <w:kern w:val="0"/>
                <w:sz w:val="24"/>
                <w:szCs w:val="24"/>
                <w:lang w:eastAsia="zh-CN"/>
                <w14:textFill>
                  <w14:solidFill>
                    <w14:schemeClr w14:val="tx1"/>
                  </w14:solidFill>
                </w14:textFill>
              </w:rPr>
              <w:t>时</w:t>
            </w:r>
            <w:r>
              <w:rPr>
                <w:rFonts w:hint="eastAsia" w:ascii="Times New Roman" w:hAnsi="Times New Roman" w:cs="Times New Roman"/>
                <w:color w:val="000000" w:themeColor="text1"/>
                <w:kern w:val="0"/>
                <w:sz w:val="24"/>
                <w:szCs w:val="24"/>
                <w14:textFill>
                  <w14:solidFill>
                    <w14:schemeClr w14:val="tx1"/>
                  </w14:solidFill>
                </w14:textFill>
              </w:rPr>
              <w:t>应加盖、封口，保持密闭。废弃的溶剂型胶粘剂桶、溶剂型处理剂桶或有机溶剂桶等在移交回收处理机构前，应密封储存。</w:t>
            </w:r>
          </w:p>
          <w:p>
            <w:pPr>
              <w:ind w:firstLine="0" w:firstLineChars="0"/>
              <w:jc w:val="left"/>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（5）废气处理设备单独设置电表。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4" w:type="dxa"/>
            <w:gridSpan w:val="8"/>
            <w:vAlign w:val="center"/>
          </w:tcPr>
          <w:p>
            <w:pPr>
              <w:jc w:val="left"/>
              <w:rPr>
                <w:rFonts w:hint="eastAsia" w:ascii="Times New Roman" w:hAnsi="Times New Roman" w:cs="Times New Roman"/>
                <w:b/>
                <w:bCs/>
                <w:color w:val="000000" w:themeColor="text1"/>
                <w:kern w:val="0"/>
                <w:sz w:val="24"/>
                <w:szCs w:val="24"/>
                <w:lang w:eastAsia="zh-CN"/>
                <w14:textFill>
                  <w14:solidFill>
                    <w14:schemeClr w14:val="tx1"/>
                  </w14:solidFill>
                </w14:textFill>
              </w:rPr>
            </w:pPr>
            <w:r>
              <w:rPr>
                <w:rFonts w:hint="eastAsia" w:ascii="Times New Roman" w:hAnsi="Times New Roman" w:cs="Times New Roman"/>
                <w:b/>
                <w:bCs/>
                <w:color w:val="000000" w:themeColor="text1"/>
                <w:kern w:val="0"/>
                <w:sz w:val="24"/>
                <w:szCs w:val="24"/>
                <w:lang w:eastAsia="zh-CN"/>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二</w:t>
            </w:r>
            <w:r>
              <w:rPr>
                <w:rFonts w:hint="eastAsia" w:ascii="Times New Roman" w:hAnsi="Times New Roman" w:cs="Times New Roman"/>
                <w:b/>
                <w:bCs/>
                <w:color w:val="000000" w:themeColor="text1"/>
                <w:kern w:val="0"/>
                <w:sz w:val="24"/>
                <w:szCs w:val="24"/>
                <w:lang w:eastAsia="zh-CN"/>
                <w14:textFill>
                  <w14:solidFill>
                    <w14:schemeClr w14:val="tx1"/>
                  </w14:solidFill>
                </w14:textFill>
              </w:rPr>
              <w:t>）</w:t>
            </w:r>
            <w:r>
              <w:rPr>
                <w:rFonts w:hint="eastAsia" w:ascii="Times New Roman" w:hAnsi="Times New Roman" w:cs="Times New Roman"/>
                <w:b/>
                <w:bCs/>
                <w:color w:val="000000" w:themeColor="text1"/>
                <w:kern w:val="0"/>
                <w:sz w:val="24"/>
                <w:szCs w:val="24"/>
                <w14:textFill>
                  <w14:solidFill>
                    <w14:schemeClr w14:val="tx1"/>
                  </w14:solidFill>
                </w14:textFill>
              </w:rPr>
              <w:t xml:space="preserve"> </w:t>
            </w:r>
            <w:r>
              <w:rPr>
                <w:rFonts w:hint="eastAsia" w:ascii="Times New Roman" w:hAnsi="Times New Roman" w:cs="Times New Roman"/>
                <w:b/>
                <w:bCs/>
                <w:color w:val="000000" w:themeColor="text1"/>
                <w:kern w:val="0"/>
                <w:sz w:val="24"/>
                <w:szCs w:val="24"/>
                <w:lang w:eastAsia="zh-CN"/>
                <w14:textFill>
                  <w14:solidFill>
                    <w14:schemeClr w14:val="tx1"/>
                  </w14:solidFill>
                </w14:textFill>
              </w:rPr>
              <w:t>工业固废</w:t>
            </w:r>
          </w:p>
          <w:p>
            <w:pPr>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kern w:val="0"/>
                <w:sz w:val="24"/>
                <w:szCs w:val="24"/>
                <w14:textFill>
                  <w14:solidFill>
                    <w14:schemeClr w14:val="tx1"/>
                  </w14:solidFill>
                </w14:textFill>
              </w:rPr>
              <w:t>一般工业固体废物和危险废物在专门区域分隔存放</w:t>
            </w:r>
            <w:r>
              <w:rPr>
                <w:rFonts w:hint="eastAsia" w:ascii="Times New Roman" w:hAnsi="Times New Roman" w:cs="Times New Roman"/>
                <w:color w:val="000000" w:themeColor="text1"/>
                <w:kern w:val="0"/>
                <w:sz w:val="24"/>
                <w:szCs w:val="24"/>
                <w:lang w:eastAsia="zh-CN"/>
                <w14:textFill>
                  <w14:solidFill>
                    <w14:schemeClr w14:val="tx1"/>
                  </w14:solidFill>
                </w14:textFill>
              </w:rPr>
              <w:t>。</w:t>
            </w:r>
          </w:p>
          <w:p>
            <w:pPr>
              <w:jc w:val="left"/>
              <w:rPr>
                <w:rFonts w:hint="eastAsia"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eastAsia="zh-CN"/>
                <w14:textFill>
                  <w14:solidFill>
                    <w14:schemeClr w14:val="tx1"/>
                  </w14:solidFill>
                </w14:textFill>
              </w:rPr>
              <w:t>一般工业固体废物贮存间应设置防渗措施、防风、防晒、防雨措施、环境保护图像标志。</w:t>
            </w:r>
          </w:p>
          <w:p>
            <w:pPr>
              <w:jc w:val="left"/>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（3）危险废物贮存间应按照 GB 18597 相关要求进行防渗、防漏、防淋、防风、防火等措施，有效防止临时存放过程中二次污染。</w:t>
            </w:r>
          </w:p>
          <w:p>
            <w:pPr>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（4）做好固废台账，记录固体废物产生量和去向（处理、处置、综合利用或外运）及相应量。</w:t>
            </w:r>
          </w:p>
          <w:p>
            <w:pPr>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（5）危险废物转移过程应执行《危险废物转移管理办法》。</w:t>
            </w:r>
          </w:p>
          <w:p>
            <w:pPr>
              <w:rPr>
                <w:rFonts w:ascii="Times New Roman" w:hAnsi="Times New Roman" w:cs="Times New Roman"/>
                <w:color w:val="000000" w:themeColor="text1"/>
                <w:sz w:val="24"/>
                <w:szCs w:val="24"/>
                <w14:textFill>
                  <w14:solidFill>
                    <w14:schemeClr w14:val="tx1"/>
                  </w14:solidFill>
                </w14:textFill>
              </w:rPr>
            </w:pPr>
          </w:p>
        </w:tc>
      </w:tr>
    </w:tbl>
    <w:p>
      <w:pPr>
        <w:spacing w:line="360" w:lineRule="auto"/>
        <w:jc w:val="center"/>
        <w:rPr>
          <w:rFonts w:hint="eastAsia" w:ascii="Times New Roman" w:hAnsi="Times New Roman" w:cs="Times New Roman"/>
          <w:b/>
          <w:bCs/>
          <w:color w:val="000000" w:themeColor="text1"/>
          <w:kern w:val="0"/>
          <w:sz w:val="30"/>
          <w:szCs w:val="30"/>
          <w:lang w:eastAsia="zh-CN"/>
          <w14:textFill>
            <w14:solidFill>
              <w14:schemeClr w14:val="tx1"/>
            </w14:solidFill>
          </w14:textFill>
        </w:rPr>
      </w:pPr>
    </w:p>
    <w:p>
      <w:pPr>
        <w:spacing w:line="360" w:lineRule="auto"/>
        <w:jc w:val="center"/>
        <w:rPr>
          <w:rFonts w:hint="eastAsia" w:ascii="Times New Roman" w:hAnsi="Times New Roman" w:cs="Times New Roman"/>
          <w:b/>
          <w:bCs/>
          <w:color w:val="000000" w:themeColor="text1"/>
          <w:kern w:val="0"/>
          <w:sz w:val="30"/>
          <w:szCs w:val="30"/>
          <w:lang w:eastAsia="zh-CN"/>
          <w14:textFill>
            <w14:solidFill>
              <w14:schemeClr w14:val="tx1"/>
            </w14:solidFill>
          </w14:textFill>
        </w:rPr>
      </w:pPr>
    </w:p>
    <w:p>
      <w:pPr>
        <w:spacing w:line="360" w:lineRule="auto"/>
        <w:jc w:val="center"/>
        <w:rPr>
          <w:rFonts w:hint="eastAsia" w:ascii="Times New Roman" w:hAnsi="Times New Roman" w:cs="Times New Roman"/>
          <w:b/>
          <w:bCs/>
          <w:color w:val="000000" w:themeColor="text1"/>
          <w:kern w:val="0"/>
          <w:sz w:val="30"/>
          <w:szCs w:val="30"/>
          <w:lang w:eastAsia="zh-CN"/>
          <w14:textFill>
            <w14:solidFill>
              <w14:schemeClr w14:val="tx1"/>
            </w14:solidFill>
          </w14:textFill>
        </w:rPr>
      </w:pPr>
    </w:p>
    <w:p>
      <w:pPr>
        <w:spacing w:line="360" w:lineRule="auto"/>
        <w:jc w:val="center"/>
        <w:rPr>
          <w:rFonts w:hint="eastAsia" w:ascii="Times New Roman" w:hAnsi="Times New Roman" w:cs="Times New Roman"/>
          <w:b/>
          <w:bCs/>
          <w:color w:val="000000" w:themeColor="text1"/>
          <w:kern w:val="0"/>
          <w:sz w:val="30"/>
          <w:szCs w:val="30"/>
          <w:lang w:eastAsia="zh-CN"/>
          <w14:textFill>
            <w14:solidFill>
              <w14:schemeClr w14:val="tx1"/>
            </w14:solidFill>
          </w14:textFill>
        </w:rPr>
      </w:pPr>
    </w:p>
    <w:p>
      <w:pPr>
        <w:spacing w:line="360" w:lineRule="auto"/>
        <w:jc w:val="center"/>
        <w:rPr>
          <w:rFonts w:hint="eastAsia" w:ascii="Calibri" w:hAnsi="Calibri" w:eastAsia="宋体" w:cs="黑体"/>
          <w:color w:val="000000" w:themeColor="text1"/>
          <w:sz w:val="30"/>
          <w:szCs w:val="30"/>
          <w:lang w:eastAsia="zh-CN"/>
          <w14:textFill>
            <w14:solidFill>
              <w14:schemeClr w14:val="tx1"/>
            </w14:solidFill>
          </w14:textFill>
        </w:rPr>
      </w:pPr>
      <w:r>
        <w:rPr>
          <w:rFonts w:hint="eastAsia" w:ascii="Times New Roman" w:hAnsi="Times New Roman" w:cs="Times New Roman"/>
          <w:b/>
          <w:bCs/>
          <w:color w:val="000000" w:themeColor="text1"/>
          <w:kern w:val="0"/>
          <w:sz w:val="30"/>
          <w:szCs w:val="30"/>
          <w:lang w:eastAsia="zh-CN"/>
          <w14:textFill>
            <w14:solidFill>
              <w14:schemeClr w14:val="tx1"/>
            </w14:solidFill>
          </w14:textFill>
        </w:rPr>
        <w:t>表</w:t>
      </w:r>
      <w:r>
        <w:rPr>
          <w:rFonts w:hint="eastAsia" w:ascii="Times New Roman" w:hAnsi="Times New Roman" w:cs="Times New Roman"/>
          <w:b/>
          <w:bCs/>
          <w:color w:val="000000" w:themeColor="text1"/>
          <w:kern w:val="0"/>
          <w:sz w:val="30"/>
          <w:szCs w:val="30"/>
          <w:lang w:val="en-US" w:eastAsia="zh-CN"/>
          <w14:textFill>
            <w14:solidFill>
              <w14:schemeClr w14:val="tx1"/>
            </w14:solidFill>
          </w14:textFill>
        </w:rPr>
        <w:t xml:space="preserve">2 </w:t>
      </w:r>
      <w:r>
        <w:rPr>
          <w:rFonts w:hint="eastAsia" w:ascii="Times New Roman" w:hAnsi="Times New Roman" w:cs="Times New Roman"/>
          <w:b/>
          <w:bCs/>
          <w:color w:val="000000" w:themeColor="text1"/>
          <w:kern w:val="0"/>
          <w:sz w:val="30"/>
          <w:szCs w:val="30"/>
          <w:lang w:eastAsia="zh-CN"/>
          <w14:textFill>
            <w14:solidFill>
              <w14:schemeClr w14:val="tx1"/>
            </w14:solidFill>
          </w14:textFill>
        </w:rPr>
        <w:t>莆田</w:t>
      </w:r>
      <w:r>
        <w:rPr>
          <w:rFonts w:ascii="Times New Roman" w:hAnsi="Times New Roman" w:cs="Times New Roman"/>
          <w:b/>
          <w:bCs/>
          <w:color w:val="000000" w:themeColor="text1"/>
          <w:kern w:val="0"/>
          <w:sz w:val="30"/>
          <w:szCs w:val="30"/>
          <w14:textFill>
            <w14:solidFill>
              <w14:schemeClr w14:val="tx1"/>
            </w14:solidFill>
          </w14:textFill>
        </w:rPr>
        <w:t>市</w:t>
      </w:r>
      <w:r>
        <w:rPr>
          <w:rFonts w:hint="eastAsia" w:ascii="Times New Roman" w:hAnsi="Times New Roman" w:cs="Times New Roman"/>
          <w:b/>
          <w:bCs/>
          <w:color w:val="000000" w:themeColor="text1"/>
          <w:kern w:val="0"/>
          <w:sz w:val="30"/>
          <w:szCs w:val="30"/>
          <w:lang w:val="en-US" w:eastAsia="zh-CN"/>
          <w14:textFill>
            <w14:solidFill>
              <w14:schemeClr w14:val="tx1"/>
            </w14:solidFill>
          </w14:textFill>
        </w:rPr>
        <w:t>木质家具制造（年用非溶剂型低VOCs含量涂料10吨及以上的）</w:t>
      </w:r>
      <w:r>
        <w:rPr>
          <w:rFonts w:ascii="Times New Roman" w:hAnsi="Times New Roman" w:cs="Times New Roman"/>
          <w:b/>
          <w:bCs/>
          <w:color w:val="000000" w:themeColor="text1"/>
          <w:kern w:val="0"/>
          <w:sz w:val="30"/>
          <w:szCs w:val="30"/>
          <w14:textFill>
            <w14:solidFill>
              <w14:schemeClr w14:val="tx1"/>
            </w14:solidFill>
          </w14:textFill>
        </w:rPr>
        <w:t>环境准入指引</w:t>
      </w:r>
      <w:r>
        <w:rPr>
          <w:rFonts w:hint="eastAsia" w:ascii="Times New Roman" w:hAnsi="Times New Roman" w:cs="Times New Roman"/>
          <w:b/>
          <w:bCs/>
          <w:color w:val="000000" w:themeColor="text1"/>
          <w:kern w:val="0"/>
          <w:sz w:val="30"/>
          <w:szCs w:val="30"/>
          <w:lang w:eastAsia="zh-CN"/>
          <w14:textFill>
            <w14:solidFill>
              <w14:schemeClr w14:val="tx1"/>
            </w14:solidFill>
          </w14:textFill>
        </w:rPr>
        <w:t>表</w:t>
      </w:r>
    </w:p>
    <w:tbl>
      <w:tblPr>
        <w:tblStyle w:val="17"/>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56"/>
        <w:gridCol w:w="2313"/>
        <w:gridCol w:w="98"/>
        <w:gridCol w:w="2725"/>
        <w:gridCol w:w="721"/>
        <w:gridCol w:w="2273"/>
        <w:gridCol w:w="50"/>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12934" w:type="dxa"/>
            <w:gridSpan w:val="9"/>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一</w:t>
            </w:r>
            <w:r>
              <w:rPr>
                <w:rFonts w:hint="eastAsia" w:ascii="Times New Roman" w:hAnsi="Times New Roman" w:cs="Times New Roman"/>
                <w:b/>
                <w:bCs/>
                <w:color w:val="000000" w:themeColor="text1"/>
                <w:sz w:val="24"/>
                <w:szCs w:val="24"/>
                <w14:textFill>
                  <w14:solidFill>
                    <w14:schemeClr w14:val="tx1"/>
                  </w14:solidFill>
                </w14:textFill>
              </w:rPr>
              <w:t>、选址布局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2934" w:type="dxa"/>
            <w:gridSpan w:val="9"/>
            <w:vAlign w:val="center"/>
          </w:tcPr>
          <w:p>
            <w:pP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w:t>
            </w:r>
            <w:r>
              <w:rPr>
                <w:rFonts w:hint="eastAsia" w:ascii="Times New Roman" w:hAnsi="Times New Roman" w:cs="Times New Roman"/>
                <w:color w:val="000000" w:themeColor="text1"/>
                <w:sz w:val="24"/>
                <w:szCs w:val="24"/>
                <w:lang w:eastAsia="zh-CN"/>
                <w14:textFill>
                  <w14:solidFill>
                    <w14:schemeClr w14:val="tx1"/>
                  </w14:solidFill>
                </w14:textFill>
              </w:rPr>
              <w:t>符合省、市级生态环境分区管控要求；</w:t>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（二）符合</w:t>
            </w:r>
            <w:r>
              <w:rPr>
                <w:rFonts w:hint="eastAsia" w:ascii="Times New Roman" w:hAnsi="Times New Roman" w:cs="Times New Roman"/>
                <w:color w:val="000000" w:themeColor="text1"/>
                <w:sz w:val="24"/>
                <w:szCs w:val="24"/>
                <w:lang w:eastAsia="zh-CN"/>
                <w14:textFill>
                  <w14:solidFill>
                    <w14:schemeClr w14:val="tx1"/>
                  </w14:solidFill>
                </w14:textFill>
              </w:rPr>
              <w:t>园区规划及规划环评要求。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2934" w:type="dxa"/>
            <w:gridSpan w:val="9"/>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30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3544" w:type="dxa"/>
            <w:gridSpan w:val="3"/>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323"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746"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执行标准</w:t>
            </w:r>
          </w:p>
        </w:tc>
        <w:tc>
          <w:tcPr>
            <w:tcW w:w="3069"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《工业涂装工序挥发性有机物排放标准》（DB35 1783-2018）；《大气污染物综合排放标准》（GB16297-1996）；《挥发性有机物无组织排放控制标准》（</w:t>
            </w:r>
            <w:r>
              <w:rPr>
                <w:rFonts w:hint="eastAsia"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GB 37822-2019</w:t>
            </w: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w:t>
            </w:r>
          </w:p>
        </w:tc>
        <w:tc>
          <w:tcPr>
            <w:tcW w:w="3544" w:type="dxa"/>
            <w:gridSpan w:val="3"/>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《污水综合排放标准》（GB8978-1996）表4中的三级标准；《污水排入城镇下水道水质标准》（GB/T31962-2015）B等级标准</w:t>
            </w:r>
          </w:p>
        </w:tc>
        <w:tc>
          <w:tcPr>
            <w:tcW w:w="2323"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《工业企业厂界环境噪声排放标准》（GB12348-2008）</w:t>
            </w:r>
          </w:p>
        </w:tc>
        <w:tc>
          <w:tcPr>
            <w:tcW w:w="2746"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《一般工业固体废物贮存和填埋污染控制标准》（GB18599-2020）</w:t>
            </w:r>
            <w:r>
              <w:rPr>
                <w:rFonts w:hint="default" w:ascii="Times New Roman" w:hAnsi="Times New Roman" w:cs="Times New Roman"/>
                <w:color w:val="000000" w:themeColor="text1"/>
                <w:sz w:val="24"/>
                <w:szCs w:val="24"/>
                <w:lang w:val="e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《危险废物贮存污染控制标准》（GB18597-2023）要求。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2934" w:type="dxa"/>
            <w:gridSpan w:val="9"/>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三、污染防治可行技术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污染物种类</w:t>
            </w: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来源</w:t>
            </w:r>
          </w:p>
        </w:tc>
        <w:tc>
          <w:tcPr>
            <w:tcW w:w="2725"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w:t>
            </w:r>
          </w:p>
        </w:tc>
        <w:tc>
          <w:tcPr>
            <w:tcW w:w="2994"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可行技术</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200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基材加工车间废气</w:t>
            </w:r>
          </w:p>
        </w:tc>
        <w:tc>
          <w:tcPr>
            <w:tcW w:w="2725"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颗粒物</w:t>
            </w:r>
          </w:p>
        </w:tc>
        <w:tc>
          <w:tcPr>
            <w:tcW w:w="2994"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集尘罩</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中央除尘</w:t>
            </w:r>
          </w:p>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袋式除尘</w:t>
            </w:r>
          </w:p>
        </w:tc>
        <w:tc>
          <w:tcPr>
            <w:tcW w:w="2796" w:type="dxa"/>
            <w:gridSpan w:val="2"/>
            <w:vAlign w:val="center"/>
          </w:tcPr>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打磨废气</w:t>
            </w:r>
          </w:p>
        </w:tc>
        <w:tc>
          <w:tcPr>
            <w:tcW w:w="2725"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颗粒物</w:t>
            </w:r>
          </w:p>
        </w:tc>
        <w:tc>
          <w:tcPr>
            <w:tcW w:w="2994"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中央除尘</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袋式除尘</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滤筒/滤芯过滤</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负压收集</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涂装废气</w:t>
            </w:r>
          </w:p>
        </w:tc>
        <w:tc>
          <w:tcPr>
            <w:tcW w:w="344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颗粒物</w:t>
            </w:r>
          </w:p>
        </w:tc>
        <w:tc>
          <w:tcPr>
            <w:tcW w:w="2273"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水帘过滤</w:t>
            </w:r>
          </w:p>
          <w:p>
            <w:pPr>
              <w:ind w:firstLine="480" w:firstLineChars="200"/>
              <w:jc w:val="both"/>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干式过滤棉/过滤器</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旋风除尘</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34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苯、甲苯、二甲苯、甲醛、非甲烷总烃、苯系物等</w:t>
            </w:r>
          </w:p>
        </w:tc>
        <w:tc>
          <w:tcPr>
            <w:tcW w:w="2273" w:type="dxa"/>
            <w:vAlign w:val="center"/>
          </w:tcPr>
          <w:p>
            <w:pPr>
              <w:ind w:firstLine="0" w:firstLineChars="0"/>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浓缩+燃烧/催化氧化</w:t>
            </w:r>
          </w:p>
        </w:tc>
        <w:tc>
          <w:tcPr>
            <w:tcW w:w="2796" w:type="dxa"/>
            <w:gridSpan w:val="2"/>
            <w:vAlign w:val="center"/>
          </w:tcPr>
          <w:p>
            <w:pPr>
              <w:ind w:firstLine="480"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施胶废气</w:t>
            </w:r>
          </w:p>
        </w:tc>
        <w:tc>
          <w:tcPr>
            <w:tcW w:w="34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非甲烷总烃、苯、甲苯、二甲苯、甲醛、苯系物等</w:t>
            </w:r>
          </w:p>
        </w:tc>
        <w:tc>
          <w:tcPr>
            <w:tcW w:w="2273"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浓缩+燃烧/催化氧化</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干燥废气</w:t>
            </w:r>
          </w:p>
        </w:tc>
        <w:tc>
          <w:tcPr>
            <w:tcW w:w="34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非甲烷总烃、苯、甲苯、二甲苯、甲醛、苯系物等</w:t>
            </w:r>
          </w:p>
        </w:tc>
        <w:tc>
          <w:tcPr>
            <w:tcW w:w="2273"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收集并引入治理设施</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浓缩+燃烧/催化氧化</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综合废水</w:t>
            </w:r>
          </w:p>
        </w:tc>
        <w:tc>
          <w:tcPr>
            <w:tcW w:w="34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 值、化学需氧量、五日生化需氧量、氨氮、悬浮物</w:t>
            </w:r>
          </w:p>
        </w:tc>
        <w:tc>
          <w:tcPr>
            <w:tcW w:w="2273"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预处理：除油、沉淀、过滤</w:t>
            </w:r>
          </w:p>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生化处理：好氧、水解酸化-好氧、厌氧-好氧、兼性-好氧</w:t>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深度处理：生物滤池、过滤、混凝沉淀（或澄清）</w:t>
            </w:r>
          </w:p>
        </w:tc>
        <w:tc>
          <w:tcPr>
            <w:tcW w:w="2796" w:type="dxa"/>
            <w:gridSpan w:val="2"/>
            <w:vMerge w:val="restart"/>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不外排/城镇污水处理设施/工业废水集中处理设施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8" w:type="dxa"/>
            <w:gridSpan w:val="2"/>
            <w:vMerge w:val="continue"/>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生活污水</w:t>
            </w:r>
          </w:p>
        </w:tc>
        <w:tc>
          <w:tcPr>
            <w:tcW w:w="34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 值、悬浮物、五日生化需氧量、化学需氧量、氨氮、总氮、总磷</w:t>
            </w:r>
          </w:p>
        </w:tc>
        <w:tc>
          <w:tcPr>
            <w:tcW w:w="2273"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调节池、好氧生物处理、消毒</w:t>
            </w:r>
          </w:p>
        </w:tc>
        <w:tc>
          <w:tcPr>
            <w:tcW w:w="2796" w:type="dxa"/>
            <w:gridSpan w:val="2"/>
            <w:vMerge w:val="continue"/>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411"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8515" w:type="dxa"/>
            <w:gridSpan w:val="5"/>
            <w:vAlign w:val="center"/>
          </w:tcPr>
          <w:p>
            <w:p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基础减振、隔声间、隔声屏障、厂房隔声</w:t>
            </w:r>
            <w:r>
              <w:rPr>
                <w:rFonts w:hint="eastAsia" w:ascii="Times New Roman" w:hAnsi="Times New Roman" w:cs="Times New Roman"/>
                <w:color w:val="000000" w:themeColor="text1"/>
                <w:kern w:val="0"/>
                <w:sz w:val="24"/>
                <w:szCs w:val="24"/>
                <w14:textFill>
                  <w14:solidFill>
                    <w14:schemeClr w14:val="tx1"/>
                  </w14:solidFill>
                </w14:textFill>
              </w:rPr>
              <w:t>设备基础加固</w:t>
            </w:r>
            <w:r>
              <w:rPr>
                <w:rFonts w:hint="eastAsia" w:ascii="Times New Roman" w:hAnsi="Times New Roman" w:cs="Times New Roman"/>
                <w:color w:val="000000" w:themeColor="text1"/>
                <w:kern w:val="0"/>
                <w:sz w:val="24"/>
                <w:szCs w:val="24"/>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2934" w:type="dxa"/>
            <w:gridSpan w:val="9"/>
            <w:vAlign w:val="center"/>
          </w:tcPr>
          <w:p>
            <w:pPr>
              <w:jc w:val="left"/>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四、污染防控技术要求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12934" w:type="dxa"/>
            <w:gridSpan w:val="9"/>
            <w:vAlign w:val="center"/>
          </w:tcPr>
          <w:p>
            <w:pPr>
              <w:jc w:val="left"/>
              <w:rPr>
                <w:rFonts w:hint="eastAsia"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lang w:val="en-US" w:eastAsia="zh-CN"/>
                <w14:textFill>
                  <w14:solidFill>
                    <w14:schemeClr w14:val="tx1"/>
                  </w14:solidFill>
                </w14:textFill>
              </w:rPr>
              <w:t>一</w:t>
            </w:r>
            <w:r>
              <w:rPr>
                <w:rFonts w:hint="eastAsia" w:ascii="Times New Roman" w:hAnsi="Times New Roman" w:cs="Times New Roman"/>
                <w:b/>
                <w:bCs/>
                <w:color w:val="000000" w:themeColor="text1"/>
                <w:sz w:val="24"/>
                <w:szCs w:val="24"/>
                <w:lang w:eastAsia="zh-CN"/>
                <w14:textFill>
                  <w14:solidFill>
                    <w14:schemeClr w14:val="tx1"/>
                  </w14:solidFill>
                </w14:textFill>
              </w:rPr>
              <w:t>）</w:t>
            </w:r>
            <w:r>
              <w:rPr>
                <w:rFonts w:hint="eastAsia" w:ascii="Times New Roman" w:hAnsi="Times New Roman" w:cs="Times New Roman"/>
                <w:b/>
                <w:bCs/>
                <w:color w:val="000000" w:themeColor="text1"/>
                <w:sz w:val="24"/>
                <w:szCs w:val="24"/>
                <w14:textFill>
                  <w14:solidFill>
                    <w14:schemeClr w14:val="tx1"/>
                  </w14:solidFill>
                </w14:textFill>
              </w:rPr>
              <w:t xml:space="preserve"> 废气</w:t>
            </w:r>
          </w:p>
          <w:p>
            <w:pPr>
              <w:jc w:val="left"/>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加强源头替代，在满足产品质量需求的前提下，积极采用水基型胶粘剂替代溶剂型胶粘剂。</w:t>
            </w:r>
          </w:p>
          <w:p>
            <w:pPr>
              <w:jc w:val="left"/>
              <w:rPr>
                <w:rFonts w:hint="eastAsia"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eastAsia="zh-CN"/>
                <w14:textFill>
                  <w14:solidFill>
                    <w14:schemeClr w14:val="tx1"/>
                  </w14:solidFill>
                </w14:textFill>
              </w:rPr>
              <w:t>）木工车间、施胶废气、调漆、供漆废气、喷漆废气、浸涂废气、干燥等环节废气</w:t>
            </w:r>
            <w:r>
              <w:rPr>
                <w:rFonts w:hint="eastAsia" w:ascii="Times New Roman" w:hAnsi="Times New Roman" w:cs="Times New Roman"/>
                <w:color w:val="000000" w:themeColor="text1"/>
                <w:kern w:val="0"/>
                <w:sz w:val="24"/>
                <w:szCs w:val="24"/>
                <w:lang w:eastAsia="zh-CN"/>
                <w14:textFill>
                  <w14:solidFill>
                    <w14:schemeClr w14:val="tx1"/>
                  </w14:solidFill>
                </w14:textFill>
              </w:rPr>
              <w:t>应集中收集，由密闭排气系统导入废气处理设施，并通过排气筒排放。</w:t>
            </w:r>
          </w:p>
          <w:p>
            <w:pPr>
              <w:jc w:val="left"/>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溶剂型胶粘剂、溶剂型处理剂等含 VOCs 的物料应储存于密闭的容器、包装袋、储库、料仓中；盛装 VOCs 物料的容器或包装袋应放于具有防渗设施的室内或专用场地，在非取用状态</w:t>
            </w:r>
            <w:r>
              <w:rPr>
                <w:rFonts w:hint="eastAsia" w:ascii="Times New Roman" w:hAnsi="Times New Roman" w:cs="Times New Roman"/>
                <w:color w:val="000000" w:themeColor="text1"/>
                <w:sz w:val="24"/>
                <w:szCs w:val="24"/>
                <w:lang w:eastAsia="zh-CN"/>
                <w14:textFill>
                  <w14:solidFill>
                    <w14:schemeClr w14:val="tx1"/>
                  </w14:solidFill>
                </w14:textFill>
              </w:rPr>
              <w:t>时</w:t>
            </w:r>
            <w:r>
              <w:rPr>
                <w:rFonts w:hint="eastAsia" w:ascii="Times New Roman" w:hAnsi="Times New Roman" w:cs="Times New Roman"/>
                <w:color w:val="000000" w:themeColor="text1"/>
                <w:sz w:val="24"/>
                <w:szCs w:val="24"/>
                <w14:textFill>
                  <w14:solidFill>
                    <w14:schemeClr w14:val="tx1"/>
                  </w14:solidFill>
                </w14:textFill>
              </w:rPr>
              <w:t>应加盖、封口，保持密闭。废弃的溶剂型胶粘剂桶、溶剂型处理剂桶或有机溶剂桶等在移交回收处理机构前，应密封储存。</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（4）采用活性炭吸附处理工艺的，当排气浓度不能满足设计或排放要求时应更换活性炭。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34" w:type="dxa"/>
            <w:gridSpan w:val="9"/>
            <w:vAlign w:val="center"/>
          </w:tcPr>
          <w:p>
            <w:pPr>
              <w:jc w:val="left"/>
              <w:rPr>
                <w:rFonts w:hint="eastAsia" w:ascii="Times New Roman" w:hAnsi="Times New Roman" w:cs="Times New Roman"/>
                <w:b/>
                <w:bCs/>
                <w:color w:val="000000" w:themeColor="text1"/>
                <w:kern w:val="0"/>
                <w:sz w:val="24"/>
                <w:szCs w:val="24"/>
                <w:lang w:eastAsia="zh-CN"/>
                <w14:textFill>
                  <w14:solidFill>
                    <w14:schemeClr w14:val="tx1"/>
                  </w14:solidFill>
                </w14:textFill>
              </w:rPr>
            </w:pPr>
            <w:r>
              <w:rPr>
                <w:rFonts w:hint="eastAsia" w:ascii="Times New Roman" w:hAnsi="Times New Roman" w:cs="Times New Roman"/>
                <w:b/>
                <w:bCs/>
                <w:color w:val="000000" w:themeColor="text1"/>
                <w:kern w:val="0"/>
                <w:sz w:val="24"/>
                <w:szCs w:val="24"/>
                <w:lang w:eastAsia="zh-CN"/>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二</w:t>
            </w:r>
            <w:r>
              <w:rPr>
                <w:rFonts w:hint="eastAsia" w:ascii="Times New Roman" w:hAnsi="Times New Roman" w:cs="Times New Roman"/>
                <w:b/>
                <w:bCs/>
                <w:color w:val="000000" w:themeColor="text1"/>
                <w:kern w:val="0"/>
                <w:sz w:val="24"/>
                <w:szCs w:val="24"/>
                <w:lang w:eastAsia="zh-CN"/>
                <w14:textFill>
                  <w14:solidFill>
                    <w14:schemeClr w14:val="tx1"/>
                  </w14:solidFill>
                </w14:textFill>
              </w:rPr>
              <w:t>）工业固废</w:t>
            </w:r>
          </w:p>
          <w:p>
            <w:pPr>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kern w:val="0"/>
                <w:sz w:val="24"/>
                <w:szCs w:val="24"/>
                <w14:textFill>
                  <w14:solidFill>
                    <w14:schemeClr w14:val="tx1"/>
                  </w14:solidFill>
                </w14:textFill>
              </w:rPr>
              <w:t>一般工业固体废物和危险废物在专门区域分隔存放</w:t>
            </w:r>
            <w:r>
              <w:rPr>
                <w:rFonts w:hint="eastAsia" w:ascii="Times New Roman" w:hAnsi="Times New Roman" w:cs="Times New Roman"/>
                <w:color w:val="000000" w:themeColor="text1"/>
                <w:kern w:val="0"/>
                <w:sz w:val="24"/>
                <w:szCs w:val="24"/>
                <w:lang w:eastAsia="zh-CN"/>
                <w14:textFill>
                  <w14:solidFill>
                    <w14:schemeClr w14:val="tx1"/>
                  </w14:solidFill>
                </w14:textFill>
              </w:rPr>
              <w:t>。</w:t>
            </w:r>
          </w:p>
          <w:p>
            <w:pPr>
              <w:jc w:val="left"/>
              <w:rPr>
                <w:rFonts w:hint="eastAsia"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eastAsia="zh-CN"/>
                <w14:textFill>
                  <w14:solidFill>
                    <w14:schemeClr w14:val="tx1"/>
                  </w14:solidFill>
                </w14:textFill>
              </w:rPr>
              <w:t>一般工业固体废物贮存间应设置防渗措施、防风、防晒、防雨措施、环境保护图像标志。</w:t>
            </w:r>
          </w:p>
          <w:p>
            <w:pPr>
              <w:jc w:val="left"/>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（3）危险废物贮存间应按照 GB 18597 相关要求进行防渗、防漏、防淋、防风、防火等措施，有效防止临时存放过程中二次污染。</w:t>
            </w:r>
          </w:p>
          <w:p>
            <w:pPr>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（4）做好固废台账，记录固体废物产生量和去向（处理、处置、综合利用或外运）及相应量。</w:t>
            </w:r>
          </w:p>
          <w:p>
            <w:pPr>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（5）危险废物转移过程应执行《危险废物转移管理办法》。</w:t>
            </w:r>
          </w:p>
          <w:p>
            <w:pPr>
              <w:rPr>
                <w:rFonts w:ascii="Times New Roman" w:hAnsi="Times New Roman" w:cs="Times New Roman"/>
                <w:color w:val="000000" w:themeColor="text1"/>
                <w:sz w:val="24"/>
                <w:szCs w:val="24"/>
                <w14:textFill>
                  <w14:solidFill>
                    <w14:schemeClr w14:val="tx1"/>
                  </w14:solidFill>
                </w14:textFill>
              </w:rPr>
            </w:pPr>
          </w:p>
        </w:tc>
      </w:tr>
    </w:tbl>
    <w:p>
      <w:pPr>
        <w:spacing w:line="360" w:lineRule="auto"/>
        <w:jc w:val="both"/>
        <w:rPr>
          <w:rFonts w:hint="eastAsia" w:ascii="Times New Roman" w:hAnsi="Times New Roman" w:cs="Times New Roman"/>
          <w:b/>
          <w:bCs/>
          <w:color w:val="000000" w:themeColor="text1"/>
          <w:kern w:val="0"/>
          <w:sz w:val="32"/>
          <w:szCs w:val="32"/>
          <w:lang w:eastAsia="zh-CN"/>
          <w14:textFill>
            <w14:solidFill>
              <w14:schemeClr w14:val="tx1"/>
            </w14:solidFill>
          </w14:textFill>
        </w:rPr>
      </w:pPr>
    </w:p>
    <w:p>
      <w:pPr>
        <w:pStyle w:val="3"/>
        <w:rPr>
          <w:rFonts w:hint="eastAsia"/>
          <w:color w:val="000000" w:themeColor="text1"/>
          <w:lang w:eastAsia="zh-CN"/>
          <w14:textFill>
            <w14:solidFill>
              <w14:schemeClr w14:val="tx1"/>
            </w14:solidFill>
          </w14:textFill>
        </w:rPr>
      </w:pPr>
    </w:p>
    <w:p>
      <w:pPr>
        <w:spacing w:line="360" w:lineRule="auto"/>
        <w:jc w:val="center"/>
        <w:rPr>
          <w:rFonts w:hint="eastAsia" w:ascii="Times New Roman" w:hAnsi="Times New Roman" w:cs="Times New Roman"/>
          <w:b/>
          <w:bCs/>
          <w:color w:val="000000" w:themeColor="text1"/>
          <w:kern w:val="0"/>
          <w:sz w:val="32"/>
          <w:szCs w:val="32"/>
          <w:lang w:eastAsia="zh-CN"/>
          <w14:textFill>
            <w14:solidFill>
              <w14:schemeClr w14:val="tx1"/>
            </w14:solidFill>
          </w14:textFill>
        </w:rPr>
      </w:pPr>
    </w:p>
    <w:p>
      <w:pPr>
        <w:spacing w:line="360" w:lineRule="auto"/>
        <w:jc w:val="center"/>
        <w:rPr>
          <w:rFonts w:ascii="Calibri" w:hAnsi="Calibri" w:cs="黑体"/>
          <w:color w:val="000000" w:themeColor="text1"/>
          <w:sz w:val="21"/>
          <w:szCs w:val="22"/>
          <w14:textFill>
            <w14:solidFill>
              <w14:schemeClr w14:val="tx1"/>
            </w14:solidFill>
          </w14:textFill>
        </w:rPr>
      </w:pPr>
      <w:r>
        <w:rPr>
          <w:rFonts w:hint="eastAsia" w:ascii="Times New Roman" w:hAnsi="Times New Roman" w:cs="Times New Roman"/>
          <w:b/>
          <w:bCs/>
          <w:color w:val="000000" w:themeColor="text1"/>
          <w:kern w:val="0"/>
          <w:sz w:val="32"/>
          <w:szCs w:val="32"/>
          <w:lang w:eastAsia="zh-CN"/>
          <w14:textFill>
            <w14:solidFill>
              <w14:schemeClr w14:val="tx1"/>
            </w14:solidFill>
          </w14:textFill>
        </w:rPr>
        <w:t>表</w:t>
      </w: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3 莆田市印刷业（所有报告表）</w:t>
      </w:r>
      <w:r>
        <w:rPr>
          <w:rFonts w:ascii="Times New Roman" w:hAnsi="Times New Roman" w:cs="Times New Roman"/>
          <w:b/>
          <w:bCs/>
          <w:color w:val="000000" w:themeColor="text1"/>
          <w:kern w:val="0"/>
          <w:sz w:val="32"/>
          <w:szCs w:val="32"/>
          <w14:textFill>
            <w14:solidFill>
              <w14:schemeClr w14:val="tx1"/>
            </w14:solidFill>
          </w14:textFill>
        </w:rPr>
        <w:t>环境准入指引</w:t>
      </w:r>
      <w:r>
        <w:rPr>
          <w:rFonts w:hint="eastAsia" w:ascii="Times New Roman" w:hAnsi="Times New Roman" w:cs="Times New Roman"/>
          <w:b/>
          <w:bCs/>
          <w:color w:val="000000" w:themeColor="text1"/>
          <w:kern w:val="0"/>
          <w:sz w:val="32"/>
          <w:szCs w:val="32"/>
          <w:lang w:eastAsia="zh-CN"/>
          <w14:textFill>
            <w14:solidFill>
              <w14:schemeClr w14:val="tx1"/>
            </w14:solidFill>
          </w14:textFill>
        </w:rPr>
        <w:t>表</w:t>
      </w:r>
    </w:p>
    <w:tbl>
      <w:tblPr>
        <w:tblStyle w:val="17"/>
        <w:tblW w:w="12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56"/>
        <w:gridCol w:w="2569"/>
        <w:gridCol w:w="238"/>
        <w:gridCol w:w="1890"/>
        <w:gridCol w:w="1214"/>
        <w:gridCol w:w="862"/>
        <w:gridCol w:w="1407"/>
        <w:gridCol w:w="88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34" w:type="dxa"/>
            <w:gridSpan w:val="10"/>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一</w:t>
            </w:r>
            <w:r>
              <w:rPr>
                <w:rFonts w:hint="eastAsia" w:ascii="Times New Roman" w:hAnsi="Times New Roman" w:cs="Times New Roman"/>
                <w:b/>
                <w:bCs/>
                <w:color w:val="000000" w:themeColor="text1"/>
                <w:sz w:val="24"/>
                <w:szCs w:val="24"/>
                <w14:textFill>
                  <w14:solidFill>
                    <w14:schemeClr w14:val="tx1"/>
                  </w14:solidFill>
                </w14:textFill>
              </w:rPr>
              <w:t>、选址布局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934" w:type="dxa"/>
            <w:gridSpan w:val="10"/>
            <w:vAlign w:val="center"/>
          </w:tcPr>
          <w:p>
            <w:pP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w:t>
            </w:r>
            <w:r>
              <w:rPr>
                <w:rFonts w:hint="eastAsia" w:ascii="Times New Roman" w:hAnsi="Times New Roman" w:cs="Times New Roman"/>
                <w:color w:val="000000" w:themeColor="text1"/>
                <w:sz w:val="24"/>
                <w:szCs w:val="24"/>
                <w:lang w:eastAsia="zh-CN"/>
                <w14:textFill>
                  <w14:solidFill>
                    <w14:schemeClr w14:val="tx1"/>
                  </w14:solidFill>
                </w14:textFill>
              </w:rPr>
              <w:t>符合省、市级生态环境分区管控要求；</w:t>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（二）符合</w:t>
            </w:r>
            <w:r>
              <w:rPr>
                <w:rFonts w:hint="eastAsia" w:ascii="Times New Roman" w:hAnsi="Times New Roman" w:cs="Times New Roman"/>
                <w:color w:val="000000" w:themeColor="text1"/>
                <w:sz w:val="24"/>
                <w:szCs w:val="24"/>
                <w:lang w:eastAsia="zh-CN"/>
                <w14:textFill>
                  <w14:solidFill>
                    <w14:schemeClr w14:val="tx1"/>
                  </w14:solidFill>
                </w14:textFill>
              </w:rPr>
              <w:t>园区规划及规划环评要求。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34" w:type="dxa"/>
            <w:gridSpan w:val="10"/>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3563" w:type="dxa"/>
            <w:gridSpan w:val="3"/>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3104"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2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74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执行标准</w:t>
            </w:r>
          </w:p>
        </w:tc>
        <w:tc>
          <w:tcPr>
            <w:tcW w:w="3563" w:type="dxa"/>
            <w:gridSpan w:val="3"/>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《印刷行业挥发性有机物排放标准》（DB35 1784-2018）；《 印刷工业大气污染物排放标准 》（GB 41616</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2022 ）；《大气污染物综合排放标准》GB16297-1996；《挥发性有机物无组织排放控制标准》（</w:t>
            </w:r>
            <w:r>
              <w:rPr>
                <w:rFonts w:hint="eastAsia"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GB 37822-2019</w:t>
            </w: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w:t>
            </w:r>
          </w:p>
        </w:tc>
        <w:tc>
          <w:tcPr>
            <w:tcW w:w="3104"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《污水综合排放标准》（GB8978-1996）表4中的三级标准；《污水排入城镇下水道水质标准》（GB/T31962-2015）B等级标准</w:t>
            </w:r>
          </w:p>
        </w:tc>
        <w:tc>
          <w:tcPr>
            <w:tcW w:w="2269"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《工业企业厂界环境噪声排放标准》（GB12348-2008）</w:t>
            </w:r>
          </w:p>
        </w:tc>
        <w:tc>
          <w:tcPr>
            <w:tcW w:w="2746"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《一般工业固体废物贮存和填埋污染控制标准》（GB18599-2020）</w:t>
            </w:r>
            <w:r>
              <w:rPr>
                <w:rFonts w:hint="default" w:ascii="Times New Roman" w:hAnsi="Times New Roman" w:cs="Times New Roman"/>
                <w:color w:val="000000" w:themeColor="text1"/>
                <w:sz w:val="24"/>
                <w:szCs w:val="24"/>
                <w:lang w:val="e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《危险废物贮存污染控制标准》（GB18597-2023）要求。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12934" w:type="dxa"/>
            <w:gridSpan w:val="10"/>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三、污染防治可行技术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污染物种类</w:t>
            </w:r>
          </w:p>
        </w:tc>
        <w:tc>
          <w:tcPr>
            <w:tcW w:w="2569"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来源</w:t>
            </w:r>
          </w:p>
        </w:tc>
        <w:tc>
          <w:tcPr>
            <w:tcW w:w="212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w:t>
            </w:r>
          </w:p>
        </w:tc>
        <w:tc>
          <w:tcPr>
            <w:tcW w:w="6229" w:type="dxa"/>
            <w:gridSpan w:val="5"/>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0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2569" w:type="dxa"/>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调墨、供墨、凹版印刷、平版印刷、凸版（柔版）</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印刷、孔版印刷、复合(覆膜)、涂布等</w:t>
            </w:r>
          </w:p>
        </w:tc>
        <w:tc>
          <w:tcPr>
            <w:tcW w:w="212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非甲烷总烃、苯、甲苯、二甲苯、苯系物</w:t>
            </w:r>
          </w:p>
        </w:tc>
        <w:tc>
          <w:tcPr>
            <w:tcW w:w="207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挥发性有机物浓</w:t>
            </w:r>
          </w:p>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度&gt;1000 mg/m</w:t>
            </w:r>
            <w:r>
              <w:rPr>
                <w:rFonts w:hint="eastAsia" w:ascii="Times New Roman" w:hAnsi="Times New Roman" w:cs="Times New Roman"/>
                <w:color w:val="000000" w:themeColor="text1"/>
                <w:sz w:val="24"/>
                <w:szCs w:val="24"/>
                <w:vertAlign w:val="superscript"/>
                <w:lang w:val="en-US" w:eastAsia="zh-CN"/>
                <w14:textFill>
                  <w14:solidFill>
                    <w14:schemeClr w14:val="tx1"/>
                  </w14:solidFill>
                </w14:textFill>
              </w:rPr>
              <w:t>3</w:t>
            </w:r>
          </w:p>
        </w:tc>
        <w:tc>
          <w:tcPr>
            <w:tcW w:w="2287"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吸附+冷凝回收、活性炭吸附（现场再生）、浓缩+热力（催化）氧化、直接热力（催化）氧化、其他</w:t>
            </w:r>
          </w:p>
        </w:tc>
        <w:tc>
          <w:tcPr>
            <w:tcW w:w="1866" w:type="dxa"/>
            <w:vAlign w:val="center"/>
          </w:tcPr>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08" w:type="dxa"/>
            <w:gridSpan w:val="2"/>
            <w:vMerge w:val="continue"/>
            <w:vAlign w:val="center"/>
          </w:tcPr>
          <w:p>
            <w:pPr>
              <w:jc w:val="center"/>
              <w:rPr>
                <w:color w:val="000000" w:themeColor="text1"/>
                <w14:textFill>
                  <w14:solidFill>
                    <w14:schemeClr w14:val="tx1"/>
                  </w14:solidFill>
                </w14:textFill>
              </w:rPr>
            </w:pPr>
          </w:p>
        </w:tc>
        <w:tc>
          <w:tcPr>
            <w:tcW w:w="2569" w:type="dxa"/>
            <w:vMerge w:val="continue"/>
            <w:vAlign w:val="center"/>
          </w:tcPr>
          <w:p>
            <w:pPr>
              <w:jc w:val="center"/>
              <w:rPr>
                <w:color w:val="000000" w:themeColor="text1"/>
                <w14:textFill>
                  <w14:solidFill>
                    <w14:schemeClr w14:val="tx1"/>
                  </w14:solidFill>
                </w14:textFill>
              </w:rPr>
            </w:pPr>
          </w:p>
        </w:tc>
        <w:tc>
          <w:tcPr>
            <w:tcW w:w="2128" w:type="dxa"/>
            <w:gridSpan w:val="2"/>
            <w:vMerge w:val="continue"/>
            <w:vAlign w:val="center"/>
          </w:tcPr>
          <w:p>
            <w:pPr>
              <w:jc w:val="center"/>
              <w:rPr>
                <w:color w:val="000000" w:themeColor="text1"/>
                <w14:textFill>
                  <w14:solidFill>
                    <w14:schemeClr w14:val="tx1"/>
                  </w14:solidFill>
                </w14:textFill>
              </w:rPr>
            </w:pPr>
          </w:p>
        </w:tc>
        <w:tc>
          <w:tcPr>
            <w:tcW w:w="2076" w:type="dxa"/>
            <w:gridSpan w:val="2"/>
            <w:vAlign w:val="center"/>
          </w:tcPr>
          <w:p>
            <w:pPr>
              <w:jc w:val="center"/>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挥发性有机物浓度</w:t>
            </w:r>
          </w:p>
          <w:p>
            <w:pPr>
              <w:jc w:val="center"/>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&lt;1000 mg/m</w:t>
            </w:r>
            <w:r>
              <w:rPr>
                <w:rFonts w:hint="eastAsia" w:ascii="Times New Roman" w:hAnsi="Times New Roman"/>
                <w:color w:val="000000" w:themeColor="text1"/>
                <w:sz w:val="24"/>
                <w:szCs w:val="24"/>
                <w:vertAlign w:val="superscript"/>
                <w14:textFill>
                  <w14:solidFill>
                    <w14:schemeClr w14:val="tx1"/>
                  </w14:solidFill>
                </w14:textFill>
              </w:rPr>
              <w:t>3</w:t>
            </w:r>
          </w:p>
        </w:tc>
        <w:tc>
          <w:tcPr>
            <w:tcW w:w="2287" w:type="dxa"/>
            <w:gridSpan w:val="2"/>
            <w:vAlign w:val="center"/>
          </w:tcPr>
          <w:p>
            <w:pPr>
              <w:jc w:val="center"/>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活性炭吸附（现场再生）、浓缩+热力（催化）氧化、直接热力（催化）氧化、其他</w:t>
            </w:r>
          </w:p>
        </w:tc>
        <w:tc>
          <w:tcPr>
            <w:tcW w:w="1866" w:type="dxa"/>
            <w:vAlign w:val="center"/>
          </w:tcPr>
          <w:p>
            <w:pPr>
              <w:jc w:val="center"/>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08" w:type="dxa"/>
            <w:gridSpan w:val="2"/>
            <w:vMerge w:val="restart"/>
            <w:vAlign w:val="center"/>
          </w:tcPr>
          <w:p>
            <w:pPr>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569"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综合废水</w:t>
            </w:r>
          </w:p>
        </w:tc>
        <w:tc>
          <w:tcPr>
            <w:tcW w:w="2128" w:type="dxa"/>
            <w:gridSpan w:val="2"/>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 值、悬浮物、化学需氧量、五日生化需氧量、氨氮、总磷</w:t>
            </w:r>
          </w:p>
        </w:tc>
        <w:tc>
          <w:tcPr>
            <w:tcW w:w="4363" w:type="dxa"/>
            <w:gridSpan w:val="4"/>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1）预处理：格栅、沉淀、过滤、其他2）生化法处理：厌氧处理、好氧处理、厌氧处理+好氧处理、其他3）深度处理：V 型滤池、臭氧氧化、膜分离技术、电渗析、其他</w:t>
            </w:r>
          </w:p>
        </w:tc>
        <w:tc>
          <w:tcPr>
            <w:tcW w:w="1866"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不外排/城镇污水处理设施/工业废水集中处理设施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08" w:type="dxa"/>
            <w:gridSpan w:val="2"/>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569"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生活污水</w:t>
            </w:r>
          </w:p>
        </w:tc>
        <w:tc>
          <w:tcPr>
            <w:tcW w:w="2128" w:type="dxa"/>
            <w:gridSpan w:val="2"/>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 值、悬浮物、化学需氧量、五日生化需氧量、氨氮、总磷</w:t>
            </w:r>
          </w:p>
        </w:tc>
        <w:tc>
          <w:tcPr>
            <w:tcW w:w="4363" w:type="dxa"/>
            <w:gridSpan w:val="4"/>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调节池、好氧生物处理、消毒</w:t>
            </w:r>
          </w:p>
        </w:tc>
        <w:tc>
          <w:tcPr>
            <w:tcW w:w="1866"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不外排/城镇污水处理设施/工业废水集中处理设施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569" w:type="dxa"/>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8357" w:type="dxa"/>
            <w:gridSpan w:val="7"/>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基础减振、隔声间、隔声屏障、厂房隔声</w:t>
            </w:r>
            <w:r>
              <w:rPr>
                <w:rFonts w:hint="eastAsia" w:ascii="Times New Roman" w:hAnsi="Times New Roman" w:cs="Times New Roman"/>
                <w:color w:val="000000" w:themeColor="text1"/>
                <w:kern w:val="0"/>
                <w:sz w:val="24"/>
                <w:szCs w:val="24"/>
                <w14:textFill>
                  <w14:solidFill>
                    <w14:schemeClr w14:val="tx1"/>
                  </w14:solidFill>
                </w14:textFill>
              </w:rPr>
              <w:t>设备基础加固</w:t>
            </w:r>
            <w:r>
              <w:rPr>
                <w:rFonts w:hint="eastAsia" w:ascii="Times New Roman" w:hAnsi="Times New Roman" w:cs="Times New Roman"/>
                <w:color w:val="000000" w:themeColor="text1"/>
                <w:kern w:val="0"/>
                <w:sz w:val="24"/>
                <w:szCs w:val="24"/>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4" w:type="dxa"/>
            <w:gridSpan w:val="10"/>
            <w:vAlign w:val="center"/>
          </w:tcPr>
          <w:p>
            <w:pPr>
              <w:jc w:val="both"/>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四、污染防控技术要求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34" w:type="dxa"/>
            <w:gridSpan w:val="10"/>
            <w:vAlign w:val="center"/>
          </w:tcPr>
          <w:p>
            <w:pPr>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（一）废气</w:t>
            </w:r>
          </w:p>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（1）对于生产过程中涉及 VOCs 物料的印刷机、烘干、复合机应该设立密闭或符合规范的废气捕集装置，将有组织废气收集并导入废气治理设施。</w:t>
            </w:r>
          </w:p>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（2）印刷工业排污单位油墨、稀释剂、胶粘剂、涂布液、清洗剂等 VOCs 物料的储存和输送过程应保持密闭。</w:t>
            </w:r>
          </w:p>
          <w:p>
            <w:pPr>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w:t>
            </w:r>
            <w:r>
              <w:rPr>
                <w:rFonts w:hint="eastAsia" w:ascii="Times New Roman" w:hAnsi="Times New Roman" w:cs="Times New Roman"/>
                <w:color w:val="000000" w:themeColor="text1"/>
                <w:sz w:val="24"/>
                <w:szCs w:val="24"/>
                <w:lang w:val="e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油墨、胶粘剂等 VOCs 物料的调配应在密闭装置或空间内进行并有效收集，非即用状态应加盖密封。供墨、调墨配胶、印刷、复合、烘干、洗车等 VOCs 物料使用过程应采用密闭设备或在密闭空间内操作；无法密闭的，应采取局部气体收集措施，废气排至 VOCs 废气收集系统。                                                                      </w:t>
            </w:r>
            <w:r>
              <w:rPr>
                <w:rFonts w:hint="eastAsia" w:ascii="Times New Roman" w:hAnsi="Times New Roman" w:cs="Times New Roman"/>
                <w:color w:val="000000" w:themeColor="text1"/>
                <w:kern w:val="0"/>
                <w:sz w:val="24"/>
                <w:szCs w:val="24"/>
                <w:lang w:val="en-US" w:eastAsia="zh-CN"/>
                <w14:textFill>
                  <w14:solidFill>
                    <w14:schemeClr w14:val="tx1"/>
                  </w14:solidFill>
                </w14:textFill>
              </w:rPr>
              <w:t>（4）采用活性炭吸附处理工艺的，当排气浓度不能满足设计或排放要求时应更换活性炭。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934" w:type="dxa"/>
            <w:gridSpan w:val="10"/>
            <w:vAlign w:val="center"/>
          </w:tcPr>
          <w:p>
            <w:pPr>
              <w:jc w:val="left"/>
              <w:rPr>
                <w:rFonts w:hint="eastAsia" w:ascii="Times New Roman" w:hAnsi="Times New Roman" w:cs="Times New Roman"/>
                <w:b/>
                <w:bCs/>
                <w:color w:val="000000" w:themeColor="text1"/>
                <w:kern w:val="0"/>
                <w:sz w:val="24"/>
                <w:szCs w:val="24"/>
                <w:lang w:eastAsia="zh-CN"/>
                <w14:textFill>
                  <w14:solidFill>
                    <w14:schemeClr w14:val="tx1"/>
                  </w14:solidFill>
                </w14:textFill>
              </w:rPr>
            </w:pPr>
            <w:r>
              <w:rPr>
                <w:rFonts w:hint="eastAsia" w:ascii="Times New Roman" w:hAnsi="Times New Roman" w:cs="Times New Roman"/>
                <w:b/>
                <w:bCs/>
                <w:color w:val="000000" w:themeColor="text1"/>
                <w:kern w:val="0"/>
                <w:sz w:val="24"/>
                <w:szCs w:val="24"/>
                <w:lang w:eastAsia="zh-CN"/>
                <w14:textFill>
                  <w14:solidFill>
                    <w14:schemeClr w14:val="tx1"/>
                  </w14:solidFill>
                </w14:textFill>
              </w:rPr>
              <w:t>（</w:t>
            </w:r>
            <w:r>
              <w:rPr>
                <w:rFonts w:hint="eastAsia" w:ascii="Times New Roman" w:hAnsi="Times New Roman" w:cs="Times New Roman"/>
                <w:b/>
                <w:bCs/>
                <w:color w:val="000000" w:themeColor="text1"/>
                <w:kern w:val="0"/>
                <w:sz w:val="24"/>
                <w:szCs w:val="24"/>
                <w:lang w:val="en-US" w:eastAsia="zh-CN"/>
                <w14:textFill>
                  <w14:solidFill>
                    <w14:schemeClr w14:val="tx1"/>
                  </w14:solidFill>
                </w14:textFill>
              </w:rPr>
              <w:t>二</w:t>
            </w:r>
            <w:r>
              <w:rPr>
                <w:rFonts w:hint="eastAsia" w:ascii="Times New Roman" w:hAnsi="Times New Roman" w:cs="Times New Roman"/>
                <w:b/>
                <w:bCs/>
                <w:color w:val="000000" w:themeColor="text1"/>
                <w:kern w:val="0"/>
                <w:sz w:val="24"/>
                <w:szCs w:val="24"/>
                <w:lang w:eastAsia="zh-CN"/>
                <w14:textFill>
                  <w14:solidFill>
                    <w14:schemeClr w14:val="tx1"/>
                  </w14:solidFill>
                </w14:textFill>
              </w:rPr>
              <w:t>）工业固废</w:t>
            </w:r>
          </w:p>
          <w:p>
            <w:pPr>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kern w:val="0"/>
                <w:sz w:val="24"/>
                <w:szCs w:val="24"/>
                <w14:textFill>
                  <w14:solidFill>
                    <w14:schemeClr w14:val="tx1"/>
                  </w14:solidFill>
                </w14:textFill>
              </w:rPr>
              <w:t>一般工业固体废物和危险废物在专门区域分隔存放</w:t>
            </w:r>
            <w:r>
              <w:rPr>
                <w:rFonts w:hint="eastAsia" w:ascii="Times New Roman" w:hAnsi="Times New Roman" w:cs="Times New Roman"/>
                <w:color w:val="000000" w:themeColor="text1"/>
                <w:kern w:val="0"/>
                <w:sz w:val="24"/>
                <w:szCs w:val="24"/>
                <w:lang w:eastAsia="zh-CN"/>
                <w14:textFill>
                  <w14:solidFill>
                    <w14:schemeClr w14:val="tx1"/>
                  </w14:solidFill>
                </w14:textFill>
              </w:rPr>
              <w:t>。</w:t>
            </w:r>
          </w:p>
          <w:p>
            <w:pPr>
              <w:jc w:val="left"/>
              <w:rPr>
                <w:rFonts w:hint="eastAsia"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eastAsia="zh-CN"/>
                <w14:textFill>
                  <w14:solidFill>
                    <w14:schemeClr w14:val="tx1"/>
                  </w14:solidFill>
                </w14:textFill>
              </w:rPr>
              <w:t>一般工业固体废物贮存间应设置防渗措施、防风、防晒、防雨措施、环境保护图像标志。</w:t>
            </w:r>
          </w:p>
          <w:p>
            <w:pPr>
              <w:jc w:val="left"/>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（3）危险废物贮存间应按照 GB 18597 相关要求进行防渗、防漏、防淋、防风、防火等措施，有效防止临时存放过程中二次污染。</w:t>
            </w:r>
          </w:p>
          <w:p>
            <w:pPr>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（4）做好固废台账，记录固体废物产生量和去向（处理、处置、综合利用或外运）及相应量。</w:t>
            </w:r>
          </w:p>
          <w:p>
            <w:pPr>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（5）危险废物转移过程应执行《危险废物转移管理办法》。</w:t>
            </w:r>
          </w:p>
          <w:p>
            <w:pPr>
              <w:rPr>
                <w:rFonts w:hint="eastAsia" w:ascii="Times New Roman" w:hAnsi="Times New Roman" w:cs="Times New Roman"/>
                <w:color w:val="000000" w:themeColor="text1"/>
                <w:sz w:val="24"/>
                <w:szCs w:val="24"/>
                <w:lang w:val="en-US" w:eastAsia="zh-CN"/>
                <w14:textFill>
                  <w14:solidFill>
                    <w14:schemeClr w14:val="tx1"/>
                  </w14:solidFill>
                </w14:textFill>
              </w:rPr>
            </w:pPr>
          </w:p>
        </w:tc>
      </w:tr>
    </w:tbl>
    <w:p>
      <w:pPr>
        <w:spacing w:line="360" w:lineRule="auto"/>
        <w:ind w:firstLine="0" w:firstLineChars="0"/>
        <w:jc w:val="center"/>
        <w:rPr>
          <w:rFonts w:hint="eastAsia" w:ascii="Calibri" w:hAnsi="Calibri" w:eastAsia="宋体" w:cs="黑体"/>
          <w:color w:val="000000" w:themeColor="text1"/>
          <w:sz w:val="21"/>
          <w:szCs w:val="22"/>
          <w:lang w:eastAsia="zh-CN"/>
          <w14:textFill>
            <w14:solidFill>
              <w14:schemeClr w14:val="tx1"/>
            </w14:solidFill>
          </w14:textFill>
        </w:rPr>
      </w:pPr>
      <w:r>
        <w:rPr>
          <w:rFonts w:hint="eastAsia" w:ascii="Times New Roman" w:hAnsi="Times New Roman" w:cs="Times New Roman"/>
          <w:b/>
          <w:bCs/>
          <w:color w:val="000000" w:themeColor="text1"/>
          <w:kern w:val="0"/>
          <w:sz w:val="32"/>
          <w:szCs w:val="32"/>
          <w:lang w:eastAsia="zh-CN"/>
          <w14:textFill>
            <w14:solidFill>
              <w14:schemeClr w14:val="tx1"/>
            </w14:solidFill>
          </w14:textFill>
        </w:rPr>
        <w:t>表</w:t>
      </w:r>
      <w:r>
        <w:rPr>
          <w:rFonts w:hint="eastAsia" w:ascii="Times New Roman" w:hAnsi="Times New Roman" w:cs="Times New Roman"/>
          <w:b/>
          <w:bCs/>
          <w:color w:val="000000" w:themeColor="text1"/>
          <w:kern w:val="0"/>
          <w:sz w:val="32"/>
          <w:szCs w:val="32"/>
          <w:lang w:val="en-US" w:eastAsia="zh-CN"/>
          <w14:textFill>
            <w14:solidFill>
              <w14:schemeClr w14:val="tx1"/>
            </w14:solidFill>
          </w14:textFill>
        </w:rPr>
        <w:t>4   莆田市纸制品制造业</w:t>
      </w:r>
      <w:r>
        <w:rPr>
          <w:rFonts w:hint="eastAsia" w:ascii="Times New Roman" w:hAnsi="Times New Roman" w:cs="Times New Roman"/>
          <w:b/>
          <w:bCs/>
          <w:color w:val="000000" w:themeColor="text1"/>
          <w:kern w:val="0"/>
          <w:sz w:val="32"/>
          <w:szCs w:val="32"/>
          <w14:textFill>
            <w14:solidFill>
              <w14:schemeClr w14:val="tx1"/>
            </w14:solidFill>
          </w14:textFill>
        </w:rPr>
        <w:t>环</w:t>
      </w:r>
      <w:r>
        <w:rPr>
          <w:rFonts w:ascii="Times New Roman" w:hAnsi="Times New Roman" w:cs="Times New Roman"/>
          <w:b/>
          <w:bCs/>
          <w:color w:val="000000" w:themeColor="text1"/>
          <w:kern w:val="0"/>
          <w:sz w:val="32"/>
          <w:szCs w:val="32"/>
          <w14:textFill>
            <w14:solidFill>
              <w14:schemeClr w14:val="tx1"/>
            </w14:solidFill>
          </w14:textFill>
        </w:rPr>
        <w:t>境准入指引</w:t>
      </w:r>
    </w:p>
    <w:tbl>
      <w:tblPr>
        <w:tblStyle w:val="17"/>
        <w:tblW w:w="12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56"/>
        <w:gridCol w:w="2313"/>
        <w:gridCol w:w="256"/>
        <w:gridCol w:w="2765"/>
        <w:gridCol w:w="532"/>
        <w:gridCol w:w="2264"/>
        <w:gridCol w:w="50"/>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934" w:type="dxa"/>
            <w:gridSpan w:val="9"/>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一</w:t>
            </w:r>
            <w:r>
              <w:rPr>
                <w:rFonts w:hint="eastAsia" w:ascii="Times New Roman" w:hAnsi="Times New Roman" w:cs="Times New Roman"/>
                <w:b/>
                <w:bCs/>
                <w:color w:val="000000" w:themeColor="text1"/>
                <w:sz w:val="24"/>
                <w:szCs w:val="24"/>
                <w14:textFill>
                  <w14:solidFill>
                    <w14:schemeClr w14:val="tx1"/>
                  </w14:solidFill>
                </w14:textFill>
              </w:rPr>
              <w:t>、选址布局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934" w:type="dxa"/>
            <w:gridSpan w:val="9"/>
            <w:vAlign w:val="center"/>
          </w:tcPr>
          <w:p>
            <w:pP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w:t>
            </w:r>
            <w:r>
              <w:rPr>
                <w:rFonts w:hint="eastAsia" w:ascii="Times New Roman" w:hAnsi="Times New Roman" w:cs="Times New Roman"/>
                <w:color w:val="000000" w:themeColor="text1"/>
                <w:sz w:val="24"/>
                <w:szCs w:val="24"/>
                <w:lang w:eastAsia="zh-CN"/>
                <w14:textFill>
                  <w14:solidFill>
                    <w14:schemeClr w14:val="tx1"/>
                  </w14:solidFill>
                </w14:textFill>
              </w:rPr>
              <w:t>符合省、市级生态环境分区管控要求；</w:t>
            </w:r>
          </w:p>
          <w:p>
            <w:pP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（二）符合</w:t>
            </w:r>
            <w:r>
              <w:rPr>
                <w:rFonts w:hint="eastAsia" w:ascii="Times New Roman" w:hAnsi="Times New Roman" w:cs="Times New Roman"/>
                <w:color w:val="000000" w:themeColor="text1"/>
                <w:sz w:val="24"/>
                <w:szCs w:val="24"/>
                <w:lang w:eastAsia="zh-CN"/>
                <w14:textFill>
                  <w14:solidFill>
                    <w14:schemeClr w14:val="tx1"/>
                  </w14:solidFill>
                </w14:textFill>
              </w:rPr>
              <w:t>园区规划及规划环评要求。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34" w:type="dxa"/>
            <w:gridSpan w:val="9"/>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c>
          <w:tcPr>
            <w:tcW w:w="30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3553" w:type="dxa"/>
            <w:gridSpan w:val="3"/>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314"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746"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52"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执行标准</w:t>
            </w:r>
          </w:p>
        </w:tc>
        <w:tc>
          <w:tcPr>
            <w:tcW w:w="3069"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《印刷行业挥发性有机物排放标准放标准》（DB35 1784-2018）；《印刷工业大气污染物排放标准》（GB 41616—2022）；《大气污染物综合排放标准》（GB16297-1996）；《挥发性有机物无组织排放控制标准》（</w:t>
            </w:r>
            <w:r>
              <w:rPr>
                <w:rFonts w:hint="eastAsia"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GB 37822-2019</w:t>
            </w:r>
            <w:r>
              <w:rPr>
                <w:rFonts w:hint="eastAsia" w:ascii="Times New Roman" w:hAnsi="Times New Roman" w:cs="Times New Roman"/>
                <w:b w:val="0"/>
                <w:bCs w:val="0"/>
                <w:color w:val="000000" w:themeColor="text1"/>
                <w:kern w:val="0"/>
                <w:sz w:val="24"/>
                <w:szCs w:val="24"/>
                <w:lang w:val="en-US" w:eastAsia="zh-CN" w:bidi="ar-SA"/>
                <w14:textFill>
                  <w14:solidFill>
                    <w14:schemeClr w14:val="tx1"/>
                  </w14:solidFill>
                </w14:textFill>
              </w:rPr>
              <w:t>）</w:t>
            </w:r>
          </w:p>
        </w:tc>
        <w:tc>
          <w:tcPr>
            <w:tcW w:w="3553" w:type="dxa"/>
            <w:gridSpan w:val="3"/>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《污水综合排放标准》（GB8978-1996）表4中的三级标准；《污水排入城镇下水道水质标准》（GB/T31962-2015）B等级标准</w:t>
            </w:r>
          </w:p>
        </w:tc>
        <w:tc>
          <w:tcPr>
            <w:tcW w:w="2314" w:type="dxa"/>
            <w:gridSpan w:val="2"/>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《工业企业厂界环境噪声排放标准》（GB12348-2008）</w:t>
            </w:r>
          </w:p>
        </w:tc>
        <w:tc>
          <w:tcPr>
            <w:tcW w:w="2746" w:type="dxa"/>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《一般工业固体废物贮存和填埋污染控制标准》（GB18599-2020）</w:t>
            </w:r>
            <w:r>
              <w:rPr>
                <w:rFonts w:hint="default" w:ascii="Times New Roman" w:hAnsi="Times New Roman" w:cs="Times New Roman"/>
                <w:color w:val="000000" w:themeColor="text1"/>
                <w:sz w:val="24"/>
                <w:szCs w:val="24"/>
                <w:lang w:val="en"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《危险废物贮存污染控制标准》（GB18597-2023）要求。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934" w:type="dxa"/>
            <w:gridSpan w:val="9"/>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三、污染防治可行技术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污染物种类</w:t>
            </w:r>
          </w:p>
        </w:tc>
        <w:tc>
          <w:tcPr>
            <w:tcW w:w="25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来源</w:t>
            </w:r>
          </w:p>
        </w:tc>
        <w:tc>
          <w:tcPr>
            <w:tcW w:w="2765"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污染物</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可行技术</w:t>
            </w:r>
          </w:p>
        </w:tc>
        <w:tc>
          <w:tcPr>
            <w:tcW w:w="2796" w:type="dxa"/>
            <w:gridSpan w:val="2"/>
            <w:vAlign w:val="center"/>
          </w:tcPr>
          <w:p>
            <w:pPr>
              <w:jc w:val="center"/>
              <w:rPr>
                <w:rFonts w:hint="default" w:ascii="Times New Roman" w:hAnsi="Times New Roman" w:cs="Times New Roman"/>
                <w:color w:val="000000" w:themeColor="text1"/>
                <w:sz w:val="24"/>
                <w:szCs w:val="24"/>
                <w:lang w:val="en" w:eastAsia="zh-CN"/>
                <w14:textFill>
                  <w14:solidFill>
                    <w14:schemeClr w14:val="tx1"/>
                  </w14:solidFill>
                </w14:textFill>
              </w:rPr>
            </w:pPr>
            <w:r>
              <w:rPr>
                <w:rFonts w:hint="eastAsia" w:ascii="Times New Roman" w:hAnsi="Times New Roman" w:cs="Times New Roman"/>
                <w:color w:val="000000" w:themeColor="text1"/>
                <w:sz w:val="24"/>
                <w:szCs w:val="24"/>
                <w:lang w:val="en" w:eastAsia="zh-CN"/>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08" w:type="dxa"/>
            <w:gridSpan w:val="2"/>
            <w:vMerge w:val="restart"/>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废气</w:t>
            </w:r>
          </w:p>
        </w:tc>
        <w:tc>
          <w:tcPr>
            <w:tcW w:w="25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覆膜机/涂布机/淋膜</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机/浸渍机/上光机/烫</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金机/涂布机/粘箱机/</w:t>
            </w:r>
          </w:p>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复合机/胶机等</w:t>
            </w:r>
          </w:p>
        </w:tc>
        <w:tc>
          <w:tcPr>
            <w:tcW w:w="3297"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非甲烷总烃、苯、甲苯、二甲苯、苯系物</w:t>
            </w:r>
          </w:p>
        </w:tc>
        <w:tc>
          <w:tcPr>
            <w:tcW w:w="2264"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活性炭吸附/浓缩+热力（催化）氧化/直接热力（催化）氧化等</w:t>
            </w:r>
          </w:p>
        </w:tc>
        <w:tc>
          <w:tcPr>
            <w:tcW w:w="2796" w:type="dxa"/>
            <w:gridSpan w:val="2"/>
            <w:vAlign w:val="center"/>
          </w:tcPr>
          <w:p>
            <w:pPr>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08" w:type="dxa"/>
            <w:gridSpan w:val="2"/>
            <w:vMerge w:val="continue"/>
            <w:vAlign w:val="center"/>
          </w:tcPr>
          <w:p>
            <w:pPr>
              <w:jc w:val="center"/>
              <w:rPr>
                <w:color w:val="000000" w:themeColor="text1"/>
                <w14:textFill>
                  <w14:solidFill>
                    <w14:schemeClr w14:val="tx1"/>
                  </w14:solidFill>
                </w14:textFill>
              </w:rPr>
            </w:pPr>
          </w:p>
        </w:tc>
        <w:tc>
          <w:tcPr>
            <w:tcW w:w="2569"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污水处理站</w:t>
            </w:r>
          </w:p>
        </w:tc>
        <w:tc>
          <w:tcPr>
            <w:tcW w:w="3297"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硫化氢、氨、臭气浓度</w:t>
            </w:r>
          </w:p>
        </w:tc>
        <w:tc>
          <w:tcPr>
            <w:tcW w:w="2264" w:type="dxa"/>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洗涤/吸收/氧化/吸附/过滤</w:t>
            </w:r>
          </w:p>
        </w:tc>
        <w:tc>
          <w:tcPr>
            <w:tcW w:w="2796"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有组织/无组织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008" w:type="dxa"/>
            <w:gridSpan w:val="2"/>
            <w:vMerge w:val="restart"/>
            <w:vAlign w:val="center"/>
          </w:tcPr>
          <w:p>
            <w:pPr>
              <w:jc w:val="center"/>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废水</w:t>
            </w:r>
          </w:p>
        </w:tc>
        <w:tc>
          <w:tcPr>
            <w:tcW w:w="2569" w:type="dxa"/>
            <w:gridSpan w:val="2"/>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综合废水</w:t>
            </w:r>
          </w:p>
        </w:tc>
        <w:tc>
          <w:tcPr>
            <w:tcW w:w="3297" w:type="dxa"/>
            <w:gridSpan w:val="2"/>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pH值、悬浮物、化学需氧量、五日生化需氧量、氨氮、总磷</w:t>
            </w:r>
          </w:p>
        </w:tc>
        <w:tc>
          <w:tcPr>
            <w:tcW w:w="2264" w:type="dxa"/>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一级处理或一级处理+二级处理（厌氧+好氧）</w:t>
            </w:r>
          </w:p>
        </w:tc>
        <w:tc>
          <w:tcPr>
            <w:tcW w:w="2796" w:type="dxa"/>
            <w:gridSpan w:val="2"/>
            <w:vMerge w:val="restart"/>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不外排/城镇污水处理设施/工业废水集中处理设施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8" w:type="dxa"/>
            <w:gridSpan w:val="2"/>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569" w:type="dxa"/>
            <w:gridSpan w:val="2"/>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生活污水</w:t>
            </w:r>
          </w:p>
        </w:tc>
        <w:tc>
          <w:tcPr>
            <w:tcW w:w="3297" w:type="dxa"/>
            <w:gridSpan w:val="2"/>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pH值、悬浮物、化学需氧量、五日生化需氧量、氨氮、总磷</w:t>
            </w:r>
          </w:p>
        </w:tc>
        <w:tc>
          <w:tcPr>
            <w:tcW w:w="2264" w:type="dxa"/>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调节池、好氧生物处理、消毒</w:t>
            </w:r>
          </w:p>
        </w:tc>
        <w:tc>
          <w:tcPr>
            <w:tcW w:w="2796" w:type="dxa"/>
            <w:gridSpan w:val="2"/>
            <w:vMerge w:val="continue"/>
            <w:vAlign w:val="center"/>
          </w:tcPr>
          <w:p>
            <w:pPr>
              <w:rPr>
                <w:rFonts w:hint="eastAsia" w:ascii="Times New Roman" w:hAnsi="Times New Roman" w:cs="Times New Roman"/>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gridSpan w:val="2"/>
            <w:vAlign w:val="center"/>
          </w:tcPr>
          <w:p>
            <w:pPr>
              <w:jc w:val="center"/>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噪声</w:t>
            </w:r>
          </w:p>
        </w:tc>
        <w:tc>
          <w:tcPr>
            <w:tcW w:w="2569" w:type="dxa"/>
            <w:gridSpan w:val="2"/>
            <w:vAlign w:val="center"/>
          </w:tcPr>
          <w:p>
            <w:pPr>
              <w:jc w:val="cente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w:t>
            </w:r>
          </w:p>
        </w:tc>
        <w:tc>
          <w:tcPr>
            <w:tcW w:w="8357" w:type="dxa"/>
            <w:gridSpan w:val="5"/>
            <w:vAlign w:val="center"/>
          </w:tcPr>
          <w:p>
            <w:pPr>
              <w:rPr>
                <w:color w:val="000000" w:themeColor="text1"/>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基础减振、隔声间、隔声屏障、厂房隔声</w:t>
            </w:r>
            <w:r>
              <w:rPr>
                <w:rFonts w:hint="eastAsia" w:ascii="Times New Roman" w:hAnsi="Times New Roman" w:cs="Times New Roman"/>
                <w:color w:val="000000" w:themeColor="text1"/>
                <w:kern w:val="0"/>
                <w:sz w:val="24"/>
                <w:szCs w:val="24"/>
                <w14:textFill>
                  <w14:solidFill>
                    <w14:schemeClr w14:val="tx1"/>
                  </w14:solidFill>
                </w14:textFill>
              </w:rPr>
              <w:t>设备基础加固</w:t>
            </w:r>
            <w:r>
              <w:rPr>
                <w:rFonts w:hint="eastAsia" w:ascii="Times New Roman" w:hAnsi="Times New Roman" w:cs="Times New Roman"/>
                <w:color w:val="000000" w:themeColor="text1"/>
                <w:kern w:val="0"/>
                <w:sz w:val="24"/>
                <w:szCs w:val="24"/>
                <w:lang w:eastAsia="zh-CN"/>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934" w:type="dxa"/>
            <w:gridSpan w:val="9"/>
            <w:vAlign w:val="center"/>
          </w:tcPr>
          <w:p>
            <w:pPr>
              <w:jc w:val="both"/>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四、污染防控技术要求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4" w:type="dxa"/>
            <w:gridSpan w:val="9"/>
            <w:vAlign w:val="center"/>
          </w:tcPr>
          <w:p>
            <w:pPr>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eastAsia" w:ascii="Times New Roman" w:hAnsi="Times New Roman" w:cs="Times New Roman"/>
                <w:color w:val="000000" w:themeColor="text1"/>
                <w:kern w:val="0"/>
                <w:sz w:val="24"/>
                <w:szCs w:val="24"/>
                <w14:textFill>
                  <w14:solidFill>
                    <w14:schemeClr w14:val="tx1"/>
                  </w14:solidFill>
                </w14:textFill>
              </w:rPr>
              <w:t>一般工业固体废物和危险废物在专门区域分隔存放</w:t>
            </w:r>
            <w:r>
              <w:rPr>
                <w:rFonts w:hint="eastAsia" w:ascii="Times New Roman" w:hAnsi="Times New Roman" w:cs="Times New Roman"/>
                <w:color w:val="000000" w:themeColor="text1"/>
                <w:kern w:val="0"/>
                <w:sz w:val="24"/>
                <w:szCs w:val="24"/>
                <w:lang w:eastAsia="zh-CN"/>
                <w14:textFill>
                  <w14:solidFill>
                    <w14:schemeClr w14:val="tx1"/>
                  </w14:solidFill>
                </w14:textFill>
              </w:rPr>
              <w:t>。</w:t>
            </w:r>
          </w:p>
          <w:p>
            <w:pPr>
              <w:jc w:val="left"/>
              <w:rPr>
                <w:rFonts w:hint="eastAsia"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（2）</w:t>
            </w:r>
            <w:r>
              <w:rPr>
                <w:rFonts w:hint="eastAsia" w:ascii="Times New Roman" w:hAnsi="Times New Roman" w:cs="Times New Roman"/>
                <w:color w:val="000000" w:themeColor="text1"/>
                <w:kern w:val="0"/>
                <w:sz w:val="24"/>
                <w:szCs w:val="24"/>
                <w:lang w:eastAsia="zh-CN"/>
                <w14:textFill>
                  <w14:solidFill>
                    <w14:schemeClr w14:val="tx1"/>
                  </w14:solidFill>
                </w14:textFill>
              </w:rPr>
              <w:t>一般工业固体废物贮存间应设置防渗措施、防风、防晒、防雨措施、环境保护图像标志。</w:t>
            </w:r>
          </w:p>
          <w:p>
            <w:pPr>
              <w:jc w:val="left"/>
              <w:rPr>
                <w:rFonts w:hint="eastAsia" w:ascii="Times New Roman" w:hAnsi="Times New Roman" w:eastAsia="宋体"/>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（3）危险废物贮存间应按照 GB 18597 相关要求进行防渗、防漏、防淋、防风、防火等措施，有效防止临时存放过程中二次污染。</w:t>
            </w:r>
          </w:p>
          <w:p>
            <w:pPr>
              <w:jc w:val="left"/>
              <w:rPr>
                <w:rFonts w:hint="eastAsia" w:ascii="Times New Roman" w:hAnsi="Times New Roman"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（4）做好固废台账，记录固体废物产生量和去向（处理、处置、综合利用或外运）及相应量。</w:t>
            </w:r>
          </w:p>
          <w:p>
            <w:pPr>
              <w:jc w:val="left"/>
              <w:rPr>
                <w:rFonts w:hint="eastAsia" w:ascii="Times New Roman" w:hAnsi="Times New Roman" w:cs="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lang w:val="en-US" w:eastAsia="zh-CN"/>
                <w14:textFill>
                  <w14:solidFill>
                    <w14:schemeClr w14:val="tx1"/>
                  </w14:solidFill>
                </w14:textFill>
              </w:rPr>
              <w:t>（5）危险废物转移过程应执行《危险废物转移管理办法》。</w:t>
            </w:r>
          </w:p>
          <w:p>
            <w:pPr>
              <w:rPr>
                <w:rFonts w:hint="eastAsia" w:ascii="Times New Roman" w:hAnsi="Times New Roman" w:cs="Times New Roman"/>
                <w:color w:val="000000" w:themeColor="text1"/>
                <w:sz w:val="24"/>
                <w:szCs w:val="24"/>
                <w:lang w:val="en-US" w:eastAsia="zh-CN"/>
                <w14:textFill>
                  <w14:solidFill>
                    <w14:schemeClr w14:val="tx1"/>
                  </w14:solidFill>
                </w14:textFill>
              </w:rPr>
            </w:pPr>
          </w:p>
        </w:tc>
      </w:tr>
    </w:tbl>
    <w:p>
      <w:pPr>
        <w:pStyle w:val="5"/>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rPr>
          <w:rFonts w:hint="eastAsia"/>
          <w:color w:val="000000" w:themeColor="text1"/>
          <w:sz w:val="24"/>
          <w:szCs w:val="24"/>
          <w14:textFill>
            <w14:solidFill>
              <w14:schemeClr w14:val="tx1"/>
            </w14:solidFill>
          </w14:textFill>
        </w:rPr>
      </w:pPr>
    </w:p>
    <w:p>
      <w:pPr>
        <w:pStyle w:val="2"/>
        <w:rPr>
          <w:rFonts w:hint="eastAsia"/>
          <w:color w:val="000000" w:themeColor="text1"/>
          <w:sz w:val="24"/>
          <w:szCs w:val="24"/>
          <w14:textFill>
            <w14:solidFill>
              <w14:schemeClr w14:val="tx1"/>
            </w14:solidFill>
          </w14:textFill>
        </w:rPr>
      </w:pPr>
    </w:p>
    <w:p>
      <w:pPr>
        <w:pStyle w:val="2"/>
        <w:ind w:left="0" w:leftChars="0" w:firstLine="0" w:firstLineChars="0"/>
        <w:rPr>
          <w:rFonts w:hint="eastAsia"/>
          <w:color w:val="000000" w:themeColor="text1"/>
          <w:sz w:val="24"/>
          <w:szCs w:val="24"/>
          <w14:textFill>
            <w14:solidFill>
              <w14:schemeClr w14:val="tx1"/>
            </w14:solidFill>
          </w14:textFill>
        </w:rPr>
        <w:sectPr>
          <w:pgSz w:w="16838" w:h="11906" w:orient="landscape"/>
          <w:pgMar w:top="1587" w:right="1928" w:bottom="1587" w:left="1928" w:header="851" w:footer="992" w:gutter="0"/>
          <w:pgNumType w:fmt="numberInDash"/>
          <w:cols w:space="425" w:num="1"/>
          <w:docGrid w:type="lines" w:linePitch="312" w:charSpace="0"/>
        </w:sect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tabs>
          <w:tab w:val="left" w:pos="0"/>
          <w:tab w:val="left" w:pos="360"/>
        </w:tabs>
        <w:spacing w:line="560" w:lineRule="exact"/>
        <w:jc w:val="left"/>
      </w:pPr>
      <w: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33020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7pt;margin-top:2.6pt;height:0.2pt;width:442.2pt;z-index:251668480;mso-width-relative:page;mso-height-relative:page;" filled="f" stroked="t" coordsize="21600,21600" o:gfxdata="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a9b7qdYAAAAHAQAADwAAAAAAAAABACAAAAA4AAAAZHJzL2Rvd25yZXYueG1sUEsBAhQA&#10;FAAAAAgAh07iQISNKV/eAQAAnAMAAA4AAAAAAAAAAQAgAAAAOw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419735</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95pt;margin-top:33.05pt;height:0.2pt;width:442.2pt;z-index:251669504;mso-width-relative:page;mso-height-relative:page;" filled="f" stroked="t" coordsize="21600,21600" o:gfxdata="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vHljodcAAAAIAQAADwAAAAAAAAABACAAAAA4AAAAZHJzL2Rvd25yZXYueG1sUEsBAhQA&#10;FAAAAAgAh07iQMEiCo3dAQAAnAMAAA4AAAAAAAAAAQAgAAAAPAEAAGRycy9lMm9Eb2MueG1sUEsF&#10;BgAAAAAGAAYAWQEAAIsFAAAAAA==&#10;">
                <v:fill on="f" focussize="0,0"/>
                <v:stroke color="#000000" joinstyle="round"/>
                <v:imagedata o:title=""/>
                <o:lock v:ext="edit" aspectratio="f"/>
              </v:line>
            </w:pict>
          </mc:Fallback>
        </mc:AlternateContent>
      </w:r>
      <w:r>
        <w:rPr>
          <w:rFonts w:ascii="仿宋_GB2312" w:eastAsia="仿宋_GB2312"/>
          <w:sz w:val="28"/>
          <w:szCs w:val="28"/>
        </w:rPr>
        <w:t xml:space="preserve"> </w:t>
      </w:r>
      <w:r>
        <w:rPr>
          <w:rFonts w:hint="eastAsia" w:ascii="仿宋_GB2312" w:eastAsia="仿宋_GB2312"/>
          <w:sz w:val="28"/>
          <w:szCs w:val="28"/>
        </w:rPr>
        <w:t>莆田市生态环境局</w:t>
      </w:r>
      <w:r>
        <w:rPr>
          <w:rFonts w:hint="eastAsia" w:ascii="仿宋_GB2312" w:eastAsia="仿宋_GB2312"/>
          <w:sz w:val="28"/>
          <w:szCs w:val="28"/>
          <w:lang w:eastAsia="zh-CN"/>
        </w:rPr>
        <w:t>办公室</w:t>
      </w:r>
      <w:r>
        <w:rPr>
          <w:rFonts w:hint="eastAsia" w:ascii="仿宋_GB2312" w:eastAsia="仿宋_GB2312"/>
          <w:sz w:val="28"/>
          <w:szCs w:val="28"/>
        </w:rPr>
        <w:t>　</w:t>
      </w:r>
      <w:r>
        <w:rPr>
          <w:rFonts w:ascii="仿宋_GB2312" w:eastAsia="仿宋_GB2312"/>
          <w:sz w:val="28"/>
          <w:szCs w:val="28"/>
        </w:rPr>
        <w:t xml:space="preserve">                 </w:t>
      </w:r>
      <w:bookmarkStart w:id="0" w:name="_GoBack"/>
      <w:bookmarkEnd w:id="0"/>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eastAsia="仿宋_GB2312"/>
          <w:sz w:val="28"/>
          <w:szCs w:val="28"/>
          <w:lang w:val="en-US" w:eastAsia="zh-CN"/>
        </w:rPr>
        <w:t>2</w:t>
      </w:r>
      <w:r>
        <w:rPr>
          <w:rFonts w:hint="eastAsia" w:ascii="仿宋_GB2312" w:eastAsia="仿宋_GB2312"/>
          <w:sz w:val="28"/>
          <w:szCs w:val="28"/>
        </w:rPr>
        <w:t>月</w:t>
      </w:r>
      <w:r>
        <w:rPr>
          <w:rFonts w:hint="eastAsia" w:eastAsia="仿宋_GB2312"/>
          <w:sz w:val="28"/>
          <w:szCs w:val="28"/>
          <w:lang w:val="en-US" w:eastAsia="zh-CN"/>
        </w:rPr>
        <w:t>21</w:t>
      </w:r>
      <w:r>
        <w:rPr>
          <w:rFonts w:hint="eastAsia" w:ascii="仿宋_GB2312" w:eastAsia="仿宋_GB2312"/>
          <w:sz w:val="28"/>
          <w:szCs w:val="28"/>
        </w:rPr>
        <w:t>日印发</w:t>
      </w:r>
    </w:p>
    <w:p>
      <w:pPr>
        <w:rPr>
          <w:color w:val="000000" w:themeColor="text1"/>
          <w14:textFill>
            <w14:solidFill>
              <w14:schemeClr w14:val="tx1"/>
            </w14:solidFill>
          </w14:textFill>
        </w:rPr>
      </w:pPr>
    </w:p>
    <w:sectPr>
      <w:pgSz w:w="11906" w:h="16838"/>
      <w:pgMar w:top="1928" w:right="1587"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公文楷体">
    <w:panose1 w:val="02000000000000000000"/>
    <w:charset w:val="86"/>
    <w:family w:val="auto"/>
    <w:pitch w:val="default"/>
    <w:sig w:usb0="00000001" w:usb1="08000000" w:usb2="00000000" w:usb3="00000000" w:csb0="00040000" w:csb1="00000000"/>
  </w:font>
  <w:font w:name="方正公文小标宋">
    <w:panose1 w:val="02000000000000000000"/>
    <w:charset w:val="86"/>
    <w:family w:val="auto"/>
    <w:pitch w:val="default"/>
    <w:sig w:usb0="00000001" w:usb1="08000000" w:usb2="00000000" w:usb3="00000000" w:csb0="00040000" w:csb1="00000000"/>
  </w:font>
  <w:font w:name="方正公文黑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0385" cy="262890"/>
              <wp:effectExtent l="0" t="0" r="0" b="0"/>
              <wp:wrapNone/>
              <wp:docPr id="926" name="文本框 926"/>
              <wp:cNvGraphicFramePr/>
              <a:graphic xmlns:a="http://schemas.openxmlformats.org/drawingml/2006/main">
                <a:graphicData uri="http://schemas.microsoft.com/office/word/2010/wordprocessingShape">
                  <wps:wsp>
                    <wps:cNvSpPr txBox="true"/>
                    <wps:spPr>
                      <a:xfrm>
                        <a:off x="0" y="0"/>
                        <a:ext cx="540385" cy="262890"/>
                      </a:xfrm>
                      <a:prstGeom prst="rect">
                        <a:avLst/>
                      </a:prstGeom>
                      <a:noFill/>
                      <a:ln w="6350">
                        <a:noFill/>
                      </a:ln>
                      <a:effectLst/>
                    </wps:spPr>
                    <wps:txbx>
                      <w:txbxContent>
                        <w:p>
                          <w:pPr>
                            <w:pStyle w:val="11"/>
                            <w:ind w:right="280" w:rightChars="10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20.7pt;width:42.55pt;mso-position-horizontal:outside;mso-position-horizontal-relative:margin;z-index:251659264;mso-width-relative:page;mso-height-relative:page;" filled="f" stroked="f" coordsize="21600,21600" o:gfxdata="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DGoHANMAAAADAQAADwAAAAAAAAABACAAAAA4AAAAZHJzL2Rvd25y&#10;ZXYueG1sUEsBAhQAFAAAAAgAh07iQDaRxUgmAgAAKwQAAA4AAAAAAAAAAQAgAAAAOAEAAGRycy9l&#10;Mm9Eb2MueG1sUEsFBgAAAAAGAAYAWQEAANAFAAAAAA==&#10;">
              <v:fill on="f" focussize="0,0"/>
              <v:stroke on="f" weight="0.5pt"/>
              <v:imagedata o:title=""/>
              <o:lock v:ext="edit" aspectratio="f"/>
              <v:textbox inset="0mm,0mm,0mm,0mm">
                <w:txbxContent>
                  <w:p>
                    <w:pPr>
                      <w:pStyle w:val="11"/>
                      <w:ind w:right="280" w:rightChars="10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v:textbox>
            </v:shape>
          </w:pict>
        </mc:Fallback>
      </mc:AlternateContent>
    </w:r>
  </w:p>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B7FF3"/>
    <w:multiLevelType w:val="singleLevel"/>
    <w:tmpl w:val="F15B7FF3"/>
    <w:lvl w:ilvl="0" w:tentative="0">
      <w:start w:val="3"/>
      <w:numFmt w:val="chineseCounting"/>
      <w:suff w:val="nothing"/>
      <w:lvlText w:val="（%1）"/>
      <w:lvlJc w:val="left"/>
      <w:rPr>
        <w:rFonts w:hint="eastAsia"/>
      </w:rPr>
    </w:lvl>
  </w:abstractNum>
  <w:abstractNum w:abstractNumId="1">
    <w:nsid w:val="FDF7C431"/>
    <w:multiLevelType w:val="singleLevel"/>
    <w:tmpl w:val="FDF7C431"/>
    <w:lvl w:ilvl="0" w:tentative="0">
      <w:start w:val="1"/>
      <w:numFmt w:val="chineseCounting"/>
      <w:suff w:val="nothing"/>
      <w:lvlText w:val="%1、"/>
      <w:lvlJc w:val="left"/>
      <w:rPr>
        <w:rFonts w:hint="eastAsia"/>
      </w:rPr>
    </w:lvl>
  </w:abstractNum>
  <w:abstractNum w:abstractNumId="2">
    <w:nsid w:val="0EFEC0A0"/>
    <w:multiLevelType w:val="singleLevel"/>
    <w:tmpl w:val="0EFEC0A0"/>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28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GQyZGM5YjI2NWY5ODU2ZDVjYTBlZDZhYmVjZjgifQ=="/>
  </w:docVars>
  <w:rsids>
    <w:rsidRoot w:val="3FAA17F0"/>
    <w:rsid w:val="00402092"/>
    <w:rsid w:val="00C11482"/>
    <w:rsid w:val="00C25931"/>
    <w:rsid w:val="00D24083"/>
    <w:rsid w:val="06336C2E"/>
    <w:rsid w:val="06503075"/>
    <w:rsid w:val="0CC06835"/>
    <w:rsid w:val="0DCF13DF"/>
    <w:rsid w:val="0EA42B61"/>
    <w:rsid w:val="0FFDAC4B"/>
    <w:rsid w:val="124F2F9D"/>
    <w:rsid w:val="17AF7B13"/>
    <w:rsid w:val="17BA2A7C"/>
    <w:rsid w:val="195269C3"/>
    <w:rsid w:val="19A1783E"/>
    <w:rsid w:val="1BC81323"/>
    <w:rsid w:val="1BDBED1F"/>
    <w:rsid w:val="1C615D54"/>
    <w:rsid w:val="1EBE20AF"/>
    <w:rsid w:val="2219349F"/>
    <w:rsid w:val="24D92B4C"/>
    <w:rsid w:val="24FB0DCE"/>
    <w:rsid w:val="25826BBC"/>
    <w:rsid w:val="276E2755"/>
    <w:rsid w:val="289D2BC3"/>
    <w:rsid w:val="2ACA10C2"/>
    <w:rsid w:val="303428EF"/>
    <w:rsid w:val="35ED51A3"/>
    <w:rsid w:val="36EF9C7B"/>
    <w:rsid w:val="38A96A22"/>
    <w:rsid w:val="38BB0458"/>
    <w:rsid w:val="3BEB6EA6"/>
    <w:rsid w:val="3BFFB244"/>
    <w:rsid w:val="3CDF6AC9"/>
    <w:rsid w:val="3DB44ED8"/>
    <w:rsid w:val="3DDA6AD1"/>
    <w:rsid w:val="3E37471D"/>
    <w:rsid w:val="3E3B37B8"/>
    <w:rsid w:val="3F76F585"/>
    <w:rsid w:val="3FAA17F0"/>
    <w:rsid w:val="3FEF512A"/>
    <w:rsid w:val="41016419"/>
    <w:rsid w:val="41782A3C"/>
    <w:rsid w:val="44981621"/>
    <w:rsid w:val="44CE3F69"/>
    <w:rsid w:val="477D64FC"/>
    <w:rsid w:val="47BFA00B"/>
    <w:rsid w:val="48A07ED5"/>
    <w:rsid w:val="4A6D0AF1"/>
    <w:rsid w:val="4C733EEA"/>
    <w:rsid w:val="4CFFDA3B"/>
    <w:rsid w:val="4EFF1753"/>
    <w:rsid w:val="4F6F9ACE"/>
    <w:rsid w:val="509C17DB"/>
    <w:rsid w:val="529F0349"/>
    <w:rsid w:val="54DD7B29"/>
    <w:rsid w:val="54EB62AB"/>
    <w:rsid w:val="55B75307"/>
    <w:rsid w:val="55EA1A3A"/>
    <w:rsid w:val="57222FB9"/>
    <w:rsid w:val="577FB299"/>
    <w:rsid w:val="57863BDA"/>
    <w:rsid w:val="57D5CF63"/>
    <w:rsid w:val="57EFE6F5"/>
    <w:rsid w:val="5C83349C"/>
    <w:rsid w:val="5E3F7024"/>
    <w:rsid w:val="5F7755F2"/>
    <w:rsid w:val="64B0482B"/>
    <w:rsid w:val="66F7BB06"/>
    <w:rsid w:val="67871F55"/>
    <w:rsid w:val="67FB5775"/>
    <w:rsid w:val="69F16F15"/>
    <w:rsid w:val="6D37FCA8"/>
    <w:rsid w:val="6E6E20D0"/>
    <w:rsid w:val="6FFF07CF"/>
    <w:rsid w:val="712A6EC2"/>
    <w:rsid w:val="721D63EF"/>
    <w:rsid w:val="733DEA1D"/>
    <w:rsid w:val="735806F2"/>
    <w:rsid w:val="7382376B"/>
    <w:rsid w:val="73C5741B"/>
    <w:rsid w:val="747352F3"/>
    <w:rsid w:val="74EF0965"/>
    <w:rsid w:val="758568B5"/>
    <w:rsid w:val="76D583F0"/>
    <w:rsid w:val="76EF44DC"/>
    <w:rsid w:val="77EFF4BC"/>
    <w:rsid w:val="786F44EC"/>
    <w:rsid w:val="79E85707"/>
    <w:rsid w:val="79FDE701"/>
    <w:rsid w:val="7A4D5F33"/>
    <w:rsid w:val="7AB4006C"/>
    <w:rsid w:val="7BDA4803"/>
    <w:rsid w:val="7BDC60D4"/>
    <w:rsid w:val="7CFDC675"/>
    <w:rsid w:val="7D7F1523"/>
    <w:rsid w:val="7DBDB534"/>
    <w:rsid w:val="7DFF4F7D"/>
    <w:rsid w:val="7EABFE27"/>
    <w:rsid w:val="7ECFB17E"/>
    <w:rsid w:val="7ED174AF"/>
    <w:rsid w:val="7ED5E66B"/>
    <w:rsid w:val="7F5F1484"/>
    <w:rsid w:val="7FB77A11"/>
    <w:rsid w:val="7FDA0A5B"/>
    <w:rsid w:val="7FDFF513"/>
    <w:rsid w:val="7FF643E0"/>
    <w:rsid w:val="7FF9AF67"/>
    <w:rsid w:val="7FF9D8EB"/>
    <w:rsid w:val="7FFDFC40"/>
    <w:rsid w:val="87F7285C"/>
    <w:rsid w:val="9DB2007B"/>
    <w:rsid w:val="9FDC2A8E"/>
    <w:rsid w:val="AED7EE8B"/>
    <w:rsid w:val="AF7B37D2"/>
    <w:rsid w:val="AF7F1D12"/>
    <w:rsid w:val="AFDFC310"/>
    <w:rsid w:val="B1D78A9C"/>
    <w:rsid w:val="B8FBF937"/>
    <w:rsid w:val="BBFF3458"/>
    <w:rsid w:val="BD4F3E1F"/>
    <w:rsid w:val="BFDC7F14"/>
    <w:rsid w:val="BFDF1579"/>
    <w:rsid w:val="CDFF65BC"/>
    <w:rsid w:val="CFBF8E81"/>
    <w:rsid w:val="D6477DB2"/>
    <w:rsid w:val="D6BF8709"/>
    <w:rsid w:val="D6D317D8"/>
    <w:rsid w:val="D7691884"/>
    <w:rsid w:val="D8FD59DD"/>
    <w:rsid w:val="DBB7E437"/>
    <w:rsid w:val="DBFC5A99"/>
    <w:rsid w:val="DBFEBB11"/>
    <w:rsid w:val="DBFF4A33"/>
    <w:rsid w:val="DE77DB90"/>
    <w:rsid w:val="DEFECC04"/>
    <w:rsid w:val="DF6F3A01"/>
    <w:rsid w:val="E627DFF5"/>
    <w:rsid w:val="E66523CC"/>
    <w:rsid w:val="E7FB67F5"/>
    <w:rsid w:val="E7FF51BD"/>
    <w:rsid w:val="ECFFB660"/>
    <w:rsid w:val="EDB6E820"/>
    <w:rsid w:val="EDFBD019"/>
    <w:rsid w:val="EFFF45A4"/>
    <w:rsid w:val="F56E7950"/>
    <w:rsid w:val="F6C71BF2"/>
    <w:rsid w:val="F6E611BA"/>
    <w:rsid w:val="F74EE9EB"/>
    <w:rsid w:val="F7D6CEC3"/>
    <w:rsid w:val="F7FD83A5"/>
    <w:rsid w:val="F8BD96F9"/>
    <w:rsid w:val="F9DD6540"/>
    <w:rsid w:val="FAFF49A5"/>
    <w:rsid w:val="FB77151F"/>
    <w:rsid w:val="FB7F23C3"/>
    <w:rsid w:val="FBCF5612"/>
    <w:rsid w:val="FBD3046B"/>
    <w:rsid w:val="FCE5B100"/>
    <w:rsid w:val="FE3FACC7"/>
    <w:rsid w:val="FE77A2C7"/>
    <w:rsid w:val="FECB7FB3"/>
    <w:rsid w:val="FF73C57F"/>
    <w:rsid w:val="FFBF6F6D"/>
    <w:rsid w:val="FFC9831D"/>
    <w:rsid w:val="FFEDF38F"/>
    <w:rsid w:val="FFEE8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等线" w:eastAsia="宋体" w:cs="Times New Roman"/>
      <w:kern w:val="2"/>
      <w:sz w:val="28"/>
      <w:szCs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b/>
      <w:bCs/>
      <w:sz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kern w:val="0"/>
      <w:szCs w:val="20"/>
    </w:rPr>
  </w:style>
  <w:style w:type="paragraph" w:styleId="8">
    <w:name w:val="Body Text First Indent"/>
    <w:basedOn w:val="7"/>
    <w:next w:val="7"/>
    <w:qFormat/>
    <w:uiPriority w:val="0"/>
    <w:pPr>
      <w:widowControl w:val="0"/>
      <w:spacing w:after="120" w:afterLines="0" w:afterAutospacing="0"/>
      <w:ind w:firstLine="420" w:firstLineChars="100"/>
      <w:jc w:val="both"/>
    </w:pPr>
    <w:rPr>
      <w:rFonts w:ascii="Calibri" w:hAnsi="Calibri" w:eastAsia="宋体" w:cs="仿宋_GB2312"/>
      <w:kern w:val="2"/>
      <w:sz w:val="32"/>
      <w:szCs w:val="32"/>
      <w:lang w:val="en-US" w:eastAsia="zh-CN" w:bidi="ar-SA"/>
    </w:rPr>
  </w:style>
  <w:style w:type="paragraph" w:styleId="9">
    <w:name w:val="Body Text Indent"/>
    <w:basedOn w:val="1"/>
    <w:next w:val="10"/>
    <w:qFormat/>
    <w:uiPriority w:val="99"/>
    <w:pPr>
      <w:spacing w:after="120"/>
      <w:ind w:left="420"/>
    </w:pPr>
  </w:style>
  <w:style w:type="paragraph" w:customStyle="1" w:styleId="10">
    <w:name w:val="样式 正文文本缩进 + 行距: 1.5 倍行距"/>
    <w:qFormat/>
    <w:uiPriority w:val="0"/>
    <w:pPr>
      <w:widowControl w:val="0"/>
      <w:ind w:left="90" w:leftChars="32" w:firstLine="560" w:firstLineChars="200"/>
      <w:jc w:val="both"/>
    </w:pPr>
    <w:rPr>
      <w:rFonts w:ascii="宋体" w:hAnsi="宋体" w:eastAsia="宋体" w:cs="宋体"/>
      <w:color w:val="FF0000"/>
      <w:kern w:val="2"/>
      <w:sz w:val="21"/>
      <w:szCs w:val="22"/>
      <w:lang w:val="en-US" w:eastAsia="zh-CN" w:bidi="ar-SA"/>
    </w:rPr>
  </w:style>
  <w:style w:type="paragraph" w:styleId="11">
    <w:name w:val="footer"/>
    <w:basedOn w:val="1"/>
    <w:qFormat/>
    <w:uiPriority w:val="99"/>
    <w:pPr>
      <w:tabs>
        <w:tab w:val="center" w:pos="4153"/>
        <w:tab w:val="right" w:pos="8306"/>
      </w:tabs>
      <w:snapToGrid w:val="0"/>
      <w:jc w:val="left"/>
    </w:pPr>
    <w:rPr>
      <w:rFonts w:eastAsia="仿宋_GB2312"/>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99"/>
    <w:pPr>
      <w:spacing w:before="240" w:after="60"/>
      <w:jc w:val="center"/>
      <w:outlineLvl w:val="0"/>
    </w:pPr>
    <w:rPr>
      <w:rFonts w:ascii="Cambria" w:hAnsi="Cambria" w:eastAsia="方正小标宋简体" w:cs="Cambria"/>
      <w:kern w:val="0"/>
      <w:sz w:val="36"/>
      <w:szCs w:val="36"/>
    </w:rPr>
  </w:style>
  <w:style w:type="paragraph" w:styleId="16">
    <w:name w:val="Body Text First Indent 2"/>
    <w:basedOn w:val="9"/>
    <w:next w:val="1"/>
    <w:qFormat/>
    <w:uiPriority w:val="0"/>
    <w:pPr>
      <w:spacing w:after="0"/>
      <w:ind w:left="0" w:firstLine="420"/>
    </w:pPr>
    <w:rPr>
      <w:rFonts w:ascii="黑体" w:eastAsia="黑体"/>
      <w:sz w:val="32"/>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paragraph" w:customStyle="1" w:styleId="22">
    <w:name w:val="Normal (Web)1"/>
    <w:basedOn w:val="1"/>
    <w:next w:val="23"/>
    <w:qFormat/>
    <w:uiPriority w:val="0"/>
    <w:pPr>
      <w:widowControl/>
    </w:pPr>
    <w:rPr>
      <w:sz w:val="24"/>
      <w:szCs w:val="21"/>
    </w:rPr>
  </w:style>
  <w:style w:type="paragraph" w:customStyle="1" w:styleId="23">
    <w:name w:val="Date1"/>
    <w:basedOn w:val="1"/>
    <w:next w:val="1"/>
    <w:qFormat/>
    <w:uiPriority w:val="0"/>
    <w:pPr>
      <w:ind w:left="2500" w:leftChars="2500"/>
    </w:pPr>
    <w:rPr>
      <w:sz w:val="32"/>
    </w:rPr>
  </w:style>
  <w:style w:type="paragraph" w:customStyle="1" w:styleId="24">
    <w:name w:val="标题  1"/>
    <w:basedOn w:val="3"/>
    <w:qFormat/>
    <w:uiPriority w:val="0"/>
    <w:pPr>
      <w:adjustRightInd w:val="0"/>
      <w:snapToGrid w:val="0"/>
      <w:spacing w:before="156" w:after="0" w:afterLines="50" w:line="360" w:lineRule="auto"/>
    </w:pPr>
    <w:rPr>
      <w:rFonts w:ascii="Times New Roman" w:hAnsi="Times New Roman" w:eastAsia="黑体"/>
      <w:bCs w:val="0"/>
      <w:spacing w:val="-4"/>
      <w:sz w:val="36"/>
      <w:szCs w:val="36"/>
    </w:rPr>
  </w:style>
  <w:style w:type="paragraph" w:customStyle="1" w:styleId="25">
    <w:name w:val="Default"/>
    <w:basedOn w:val="26"/>
    <w:next w:val="27"/>
    <w:qFormat/>
    <w:uiPriority w:val="0"/>
    <w:pPr>
      <w:autoSpaceDE w:val="0"/>
      <w:autoSpaceDN w:val="0"/>
      <w:adjustRightInd w:val="0"/>
    </w:pPr>
    <w:rPr>
      <w:rFonts w:ascii="仿宋" w:hAnsi="Times New Roman" w:eastAsia="仿宋" w:cs="Times New Roman"/>
      <w:color w:val="000000"/>
      <w:sz w:val="24"/>
    </w:rPr>
  </w:style>
  <w:style w:type="paragraph" w:customStyle="1" w:styleId="26">
    <w:name w:val="纯文本1"/>
    <w:basedOn w:val="1"/>
    <w:qFormat/>
    <w:uiPriority w:val="99"/>
    <w:rPr>
      <w:rFonts w:ascii="宋体" w:hAnsi="Courier New" w:cs="黑体"/>
      <w:szCs w:val="21"/>
    </w:rPr>
  </w:style>
  <w:style w:type="paragraph" w:customStyle="1" w:styleId="27">
    <w:name w:val="样式35"/>
    <w:next w:val="28"/>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8">
    <w:name w:val="font6"/>
    <w:basedOn w:val="1"/>
    <w:next w:val="13"/>
    <w:qFormat/>
    <w:uiPriority w:val="0"/>
    <w:pPr>
      <w:widowControl/>
      <w:spacing w:before="100" w:beforeAutospacing="1" w:after="100" w:afterAutospacing="1"/>
      <w:jc w:val="left"/>
    </w:pPr>
    <w:rPr>
      <w:rFonts w:hAnsi="宋体" w:eastAsia="仿宋_GB2312" w:cs="宋体"/>
      <w:b/>
      <w:bCs/>
      <w:color w:val="000000"/>
      <w:kern w:val="0"/>
      <w:sz w:val="24"/>
      <w:szCs w:val="24"/>
    </w:rPr>
  </w:style>
  <w:style w:type="paragraph" w:customStyle="1" w:styleId="29">
    <w:name w:val="SYS-表格"/>
    <w:qFormat/>
    <w:uiPriority w:val="0"/>
    <w:pPr>
      <w:jc w:val="center"/>
    </w:pPr>
    <w:rPr>
      <w:rFonts w:ascii="Times New Roman" w:hAnsi="Times New Roman" w:eastAsia="仿宋" w:cs="Times New Roman"/>
      <w:kern w:val="2"/>
      <w:sz w:val="21"/>
      <w:szCs w:val="22"/>
      <w:lang w:val="en-US" w:eastAsia="zh-CN" w:bidi="ar-SA"/>
    </w:rPr>
  </w:style>
  <w:style w:type="paragraph" w:customStyle="1" w:styleId="30">
    <w:name w:val="0正文"/>
    <w:basedOn w:val="1"/>
    <w:qFormat/>
    <w:uiPriority w:val="0"/>
    <w:pPr>
      <w:spacing w:line="360" w:lineRule="auto"/>
      <w:ind w:firstLine="560" w:firstLineChars="200"/>
      <w:contextualSpacing/>
    </w:pPr>
  </w:style>
  <w:style w:type="paragraph" w:customStyle="1" w:styleId="31">
    <w:name w:val="SYS-三级"/>
    <w:basedOn w:val="1"/>
    <w:qFormat/>
    <w:uiPriority w:val="0"/>
    <w:pPr>
      <w:keepNext/>
      <w:keepLines/>
      <w:spacing w:line="360" w:lineRule="auto"/>
      <w:outlineLvl w:val="2"/>
    </w:pPr>
    <w:rPr>
      <w:rFonts w:ascii="Times New Roman" w:hAnsi="Times New Roman" w:eastAsia="仿宋_GB2312" w:cs="Times New Roman"/>
      <w:sz w:val="30"/>
      <w:szCs w:val="30"/>
    </w:rPr>
  </w:style>
  <w:style w:type="paragraph" w:customStyle="1" w:styleId="32">
    <w:name w:val="SYS-表标题"/>
    <w:basedOn w:val="1"/>
    <w:qFormat/>
    <w:uiPriority w:val="0"/>
    <w:pPr>
      <w:spacing w:line="360" w:lineRule="exact"/>
      <w:jc w:val="center"/>
      <w:outlineLvl w:val="3"/>
    </w:pPr>
    <w:rPr>
      <w:rFonts w:ascii="Times New Roman" w:hAnsi="Times New Roman" w:eastAsia="仿宋_GB2312" w:cs="Times New Roman"/>
      <w:b/>
      <w:bCs/>
      <w:sz w:val="28"/>
      <w:szCs w:val="28"/>
    </w:rPr>
  </w:style>
  <w:style w:type="paragraph" w:customStyle="1" w:styleId="33">
    <w:name w:val="SYS-一级"/>
    <w:basedOn w:val="1"/>
    <w:next w:val="1"/>
    <w:qFormat/>
    <w:uiPriority w:val="0"/>
    <w:pPr>
      <w:keepNext/>
      <w:keepLines/>
      <w:outlineLvl w:val="0"/>
    </w:pPr>
    <w:rPr>
      <w:rFonts w:ascii="Times New Roman" w:hAnsi="Times New Roman" w:eastAsia="黑体" w:cs="Times New Roman"/>
      <w:b/>
      <w:spacing w:val="-4"/>
      <w:kern w:val="44"/>
      <w:sz w:val="32"/>
      <w:szCs w:val="32"/>
    </w:rPr>
  </w:style>
  <w:style w:type="paragraph" w:customStyle="1" w:styleId="34">
    <w:name w:val="正文_35"/>
    <w:qFormat/>
    <w:uiPriority w:val="0"/>
    <w:pPr>
      <w:widowControl w:val="0"/>
      <w:jc w:val="both"/>
    </w:pPr>
    <w:rPr>
      <w:rFonts w:ascii="Calibri" w:hAnsi="Calibri" w:eastAsia="宋体" w:cs="Times New Roman"/>
      <w:kern w:val="2"/>
      <w:sz w:val="21"/>
      <w:lang w:val="en-US" w:eastAsia="zh-CN" w:bidi="ar-SA"/>
    </w:rPr>
  </w:style>
  <w:style w:type="paragraph" w:customStyle="1" w:styleId="35">
    <w:name w:val="正文_40"/>
    <w:qFormat/>
    <w:uiPriority w:val="0"/>
    <w:pPr>
      <w:widowControl w:val="0"/>
      <w:jc w:val="both"/>
    </w:pPr>
    <w:rPr>
      <w:rFonts w:ascii="Calibri" w:hAnsi="Calibri" w:eastAsia="宋体" w:cs="Times New Roman"/>
      <w:kern w:val="2"/>
      <w:sz w:val="21"/>
      <w:lang w:val="en-US" w:eastAsia="zh-CN" w:bidi="ar-SA"/>
    </w:rPr>
  </w:style>
  <w:style w:type="paragraph" w:customStyle="1" w:styleId="36">
    <w:name w:val="正文A"/>
    <w:next w:val="11"/>
    <w:qFormat/>
    <w:uiPriority w:val="99"/>
    <w:pPr>
      <w:tabs>
        <w:tab w:val="left" w:pos="0"/>
      </w:tabs>
      <w:adjustRightInd w:val="0"/>
      <w:snapToGrid w:val="0"/>
      <w:spacing w:line="360" w:lineRule="auto"/>
      <w:ind w:firstLine="200" w:firstLineChars="200"/>
      <w:jc w:val="both"/>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208</Pages>
  <Words>186515</Words>
  <Characters>195303</Characters>
  <Lines>1435</Lines>
  <Paragraphs>404</Paragraphs>
  <TotalTime>1</TotalTime>
  <ScaleCrop>false</ScaleCrop>
  <LinksUpToDate>false</LinksUpToDate>
  <CharactersWithSpaces>195455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2024-05-11T14:49:00Z</dcterms:created>
  <dc:creator>初音</dc:creator>
  <cp:lastModifiedBy>pc</cp:lastModifiedBy>
  <cp:lastPrinted>2025-02-17T00:34:00Z</cp:lastPrinted>
  <dcterms:modified xsi:type="dcterms:W3CDTF">2025-02-21T10:20:52Z</dcterms:modified>
  <dc:title>莆田市优化环境影响评价分类管理试点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851A8313BB6045B49CF1E5F027E1ABF6_13</vt:lpwstr>
  </property>
</Properties>
</file>