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528AC">
      <w:pPr>
        <w:widowControl/>
        <w:shd w:val="clear" w:color="auto" w:fill="FFFFFF"/>
        <w:spacing w:beforeAutospacing="1" w:afterAutospacing="1"/>
        <w:jc w:val="right"/>
        <w:rPr>
          <w:rFonts w:ascii="仿宋_GB2312" w:hAnsi="Verdana" w:eastAsia="仿宋_GB2312" w:cs="仿宋_GB2312"/>
          <w:color w:val="auto"/>
          <w:kern w:val="0"/>
          <w:sz w:val="32"/>
          <w:szCs w:val="32"/>
          <w:shd w:val="clear" w:color="auto" w:fill="FFFFFF"/>
        </w:rPr>
      </w:pPr>
    </w:p>
    <w:p w14:paraId="29934F6D">
      <w:pPr>
        <w:pStyle w:val="2"/>
      </w:pPr>
    </w:p>
    <w:p w14:paraId="0B5C5FA4">
      <w:pPr>
        <w:pStyle w:val="2"/>
        <w:widowControl w:val="0"/>
        <w:wordWrap/>
        <w:adjustRightInd w:val="0"/>
        <w:snapToGrid/>
        <w:spacing w:line="640" w:lineRule="exact"/>
        <w:ind w:firstLine="420"/>
        <w:textAlignment w:val="baseline"/>
      </w:pPr>
    </w:p>
    <w:p w14:paraId="1A5F67BD"/>
    <w:p w14:paraId="538560A3">
      <w:pPr>
        <w:widowControl/>
        <w:shd w:val="clear" w:color="auto" w:fill="FFFFFF"/>
        <w:spacing w:beforeAutospacing="1" w:afterAutospacing="1"/>
        <w:jc w:val="right"/>
        <w:rPr>
          <w:rFonts w:ascii="仿宋_GB2312" w:hAnsi="Verdana" w:eastAsia="仿宋_GB2312" w:cs="仿宋_GB2312"/>
          <w:color w:val="auto"/>
          <w:kern w:val="0"/>
          <w:sz w:val="32"/>
          <w:szCs w:val="32"/>
          <w:shd w:val="clear" w:color="auto" w:fill="FFFFFF"/>
        </w:rPr>
      </w:pPr>
    </w:p>
    <w:p w14:paraId="79B84BB5">
      <w:pPr>
        <w:jc w:val="center"/>
        <w:rPr>
          <w:rFonts w:hint="default" w:ascii="仿宋_GB2312" w:hAnsi="仿宋_GB2312" w:eastAsia="仿宋_GB2312" w:cs="仿宋_GB2312"/>
          <w:b/>
          <w:bCs/>
          <w:color w:val="auto"/>
          <w:sz w:val="36"/>
          <w:szCs w:val="36"/>
          <w:lang w:val="en-US" w:eastAsia="zh-CN"/>
        </w:rPr>
      </w:pPr>
      <w:r>
        <w:rPr>
          <w:rFonts w:hint="eastAsia" w:ascii="仿宋_GB2312" w:hAnsi="Verdana" w:eastAsia="仿宋_GB2312" w:cs="仿宋_GB2312"/>
          <w:color w:val="auto"/>
          <w:kern w:val="0"/>
          <w:sz w:val="32"/>
          <w:szCs w:val="32"/>
          <w:shd w:val="clear" w:color="auto" w:fill="FFFFFF"/>
        </w:rPr>
        <w:t>莆环保</w:t>
      </w:r>
      <w:r>
        <w:rPr>
          <w:rFonts w:hint="eastAsia" w:ascii="仿宋_GB2312" w:hAnsi="Verdana" w:eastAsia="仿宋_GB2312" w:cs="仿宋_GB2312"/>
          <w:color w:val="auto"/>
          <w:kern w:val="0"/>
          <w:sz w:val="32"/>
          <w:szCs w:val="32"/>
          <w:shd w:val="clear" w:color="auto" w:fill="FFFFFF"/>
          <w:lang w:eastAsia="zh-CN"/>
        </w:rPr>
        <w:t>规</w:t>
      </w:r>
      <w:r>
        <w:rPr>
          <w:rFonts w:hint="eastAsia" w:ascii="仿宋_GB2312" w:eastAsia="仿宋_GB2312"/>
          <w:color w:val="auto"/>
          <w:sz w:val="32"/>
          <w:szCs w:val="32"/>
        </w:rPr>
        <w:t>〔</w:t>
      </w:r>
      <w:r>
        <w:rPr>
          <w:rFonts w:ascii="仿宋_GB2312"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hAnsi="Verdana" w:eastAsia="仿宋_GB2312" w:cs="仿宋_GB2312"/>
          <w:color w:val="auto"/>
          <w:kern w:val="0"/>
          <w:sz w:val="32"/>
          <w:szCs w:val="32"/>
          <w:shd w:val="clear" w:color="auto" w:fill="FFFFFF"/>
        </w:rPr>
        <w:t>号</w:t>
      </w:r>
    </w:p>
    <w:p w14:paraId="5FEC726C">
      <w:pPr>
        <w:pStyle w:val="2"/>
        <w:widowControl w:val="0"/>
        <w:wordWrap/>
        <w:snapToGrid/>
        <w:spacing w:line="540" w:lineRule="exact"/>
        <w:rPr>
          <w:color w:val="auto"/>
        </w:rPr>
      </w:pPr>
    </w:p>
    <w:p w14:paraId="61FB9928">
      <w:pPr>
        <w:widowControl w:val="0"/>
        <w:wordWrap/>
        <w:snapToGrid/>
        <w:spacing w:line="540" w:lineRule="exact"/>
      </w:pPr>
    </w:p>
    <w:p w14:paraId="3C3C4241">
      <w:pPr>
        <w:widowControl w:val="0"/>
        <w:wordWrap/>
        <w:adjustRightInd/>
        <w:snapToGrid w:val="0"/>
        <w:spacing w:line="640" w:lineRule="exact"/>
        <w:jc w:val="center"/>
        <w:textAlignment w:val="auto"/>
        <w:rPr>
          <w:rFonts w:hint="eastAsia" w:ascii="仿宋_GB2312" w:hAnsi="仿宋_GB2312" w:eastAsia="仿宋_GB2312" w:cs="仿宋_GB2312"/>
          <w:b/>
          <w:bCs/>
          <w:color w:val="auto"/>
          <w:sz w:val="36"/>
          <w:szCs w:val="36"/>
          <w:lang w:eastAsia="zh-CN"/>
        </w:rPr>
      </w:pPr>
      <w:r>
        <w:rPr>
          <w:rFonts w:hint="eastAsia" w:ascii="方正小标宋简体" w:hAnsi="微软雅黑" w:eastAsia="方正小标宋简体" w:cs="宋体"/>
          <w:bCs/>
          <w:color w:val="auto"/>
          <w:kern w:val="0"/>
          <w:sz w:val="44"/>
          <w:szCs w:val="44"/>
          <w:lang w:eastAsia="zh-CN"/>
        </w:rPr>
        <w:t>莆田市生态环境局关于印发《莆田市区域环境影响评估工作实施细则》的通知</w:t>
      </w:r>
    </w:p>
    <w:p w14:paraId="06A3400E">
      <w:pPr>
        <w:widowControl/>
        <w:shd w:val="clear" w:color="auto" w:fill="FFFFFF"/>
        <w:spacing w:line="600" w:lineRule="exact"/>
        <w:ind w:firstLine="640"/>
        <w:jc w:val="left"/>
        <w:rPr>
          <w:rFonts w:ascii="仿宋_GB2312" w:hAnsi="宋体" w:eastAsia="仿宋_GB2312" w:cs="宋体"/>
          <w:color w:val="auto"/>
          <w:kern w:val="0"/>
          <w:sz w:val="32"/>
          <w:szCs w:val="32"/>
        </w:rPr>
      </w:pPr>
    </w:p>
    <w:p w14:paraId="73AEC55F">
      <w:pPr>
        <w:widowControl w:val="0"/>
        <w:wordWrap/>
        <w:adjustRightInd/>
        <w:snapToGrid w:val="0"/>
        <w:spacing w:line="600" w:lineRule="exact"/>
        <w:textAlignment w:val="auto"/>
        <w:rPr>
          <w:rFonts w:hint="eastAsia" w:ascii="方正小标宋简体" w:hAnsi="方正小标宋简体" w:eastAsia="方正小标宋简体" w:cs="方正小标宋简体"/>
          <w:i w:val="0"/>
          <w:caps w:val="0"/>
          <w:color w:val="auto"/>
          <w:spacing w:val="0"/>
          <w:sz w:val="35"/>
          <w:szCs w:val="35"/>
          <w:shd w:val="clear" w:color="070000" w:fill="FFFFFF"/>
          <w:lang w:val="en-US" w:eastAsia="zh-CN"/>
        </w:rPr>
      </w:pPr>
      <w:r>
        <w:rPr>
          <w:rFonts w:hint="eastAsia" w:ascii="仿宋_GB2312" w:hAnsi="仿宋_GB2312" w:eastAsia="仿宋_GB2312" w:cs="仿宋_GB2312"/>
          <w:b w:val="0"/>
          <w:bCs w:val="0"/>
          <w:color w:val="auto"/>
          <w:sz w:val="32"/>
          <w:szCs w:val="32"/>
          <w:lang w:val="en-US" w:eastAsia="zh-CN"/>
        </w:rPr>
        <w:t>各县（区、管委会）生态环境局、湄洲岛生态资源局，</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局机关各科室、所属各单位：</w:t>
      </w:r>
    </w:p>
    <w:p w14:paraId="42D858ED">
      <w:pPr>
        <w:widowControl w:val="0"/>
        <w:wordWrap/>
        <w:snapToGrid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为进一步优化我市营商环境，协助推进莆田市区域环境影响评估工作开展，按照《莆田市发展和改革委员会 莆田市行政服务中心管理委员会关于加快推进工程建设项目区域评估工作的通知》（莆发改〔</w:t>
      </w:r>
      <w:r>
        <w:rPr>
          <w:rFonts w:hint="default"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20〕39</w:t>
      </w:r>
      <w:r>
        <w:rPr>
          <w:rFonts w:hint="default"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b w:val="0"/>
          <w:bCs w:val="0"/>
          <w:color w:val="auto"/>
          <w:sz w:val="32"/>
          <w:szCs w:val="32"/>
          <w:u w:val="none"/>
          <w:lang w:val="en-US" w:eastAsia="zh-CN"/>
        </w:rPr>
        <w:t>、《莆田市发展和改革委员会 莆田市行政服务中心管理委员会关于印发莆田市开发区开展工程建设项目“五即”审批服务模式实施方案的通知》（莆发改〔</w:t>
      </w:r>
      <w:r>
        <w:rPr>
          <w:rFonts w:hint="default" w:ascii="仿宋_GB2312" w:hAnsi="仿宋_GB2312" w:eastAsia="仿宋_GB2312" w:cs="仿宋_GB2312"/>
          <w:b w:val="0"/>
          <w:bCs w:val="0"/>
          <w:color w:val="auto"/>
          <w:sz w:val="32"/>
          <w:szCs w:val="32"/>
          <w:u w:val="none"/>
          <w:lang w:val="en-US" w:eastAsia="zh-CN"/>
        </w:rPr>
        <w:t>20</w:t>
      </w:r>
      <w:r>
        <w:rPr>
          <w:rFonts w:hint="eastAsia" w:ascii="仿宋_GB2312" w:hAnsi="仿宋_GB2312" w:eastAsia="仿宋_GB2312" w:cs="仿宋_GB2312"/>
          <w:b w:val="0"/>
          <w:bCs w:val="0"/>
          <w:color w:val="auto"/>
          <w:sz w:val="32"/>
          <w:szCs w:val="32"/>
          <w:u w:val="none"/>
          <w:lang w:val="en-US" w:eastAsia="zh-CN"/>
        </w:rPr>
        <w:t>25〕80号）</w:t>
      </w:r>
      <w:r>
        <w:rPr>
          <w:rFonts w:hint="eastAsia" w:ascii="仿宋_GB2312" w:hAnsi="仿宋_GB2312" w:eastAsia="仿宋_GB2312" w:cs="仿宋_GB2312"/>
          <w:color w:val="auto"/>
          <w:sz w:val="32"/>
          <w:szCs w:val="32"/>
          <w:lang w:val="en-US" w:eastAsia="zh-CN"/>
        </w:rPr>
        <w:t>等文件要求，结合我市实际，现将《莆田市区域环境影响评估工作实施细则》印发给你们，请认真</w:t>
      </w:r>
      <w:r>
        <w:rPr>
          <w:rFonts w:hint="eastAsia" w:ascii="仿宋_GB2312" w:hAnsi="仿宋_GB2312" w:eastAsia="仿宋_GB2312" w:cs="仿宋_GB2312"/>
          <w:b w:val="0"/>
          <w:bCs w:val="0"/>
          <w:color w:val="auto"/>
          <w:sz w:val="32"/>
          <w:szCs w:val="32"/>
          <w:lang w:val="en-US" w:eastAsia="zh-CN"/>
        </w:rPr>
        <w:t>遵照</w:t>
      </w:r>
      <w:r>
        <w:rPr>
          <w:rFonts w:hint="eastAsia" w:ascii="仿宋_GB2312" w:hAnsi="仿宋_GB2312" w:eastAsia="仿宋_GB2312" w:cs="仿宋_GB2312"/>
          <w:color w:val="auto"/>
          <w:sz w:val="32"/>
          <w:szCs w:val="32"/>
          <w:lang w:val="en-US" w:eastAsia="zh-CN"/>
        </w:rPr>
        <w:t>执行。</w:t>
      </w:r>
    </w:p>
    <w:p w14:paraId="5FE20D77">
      <w:pPr>
        <w:widowControl w:val="0"/>
        <w:wordWrap/>
        <w:snapToGrid w:val="0"/>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7FEFF441">
      <w:pPr>
        <w:widowControl w:val="0"/>
        <w:wordWrap/>
        <w:snapToGrid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附件：莆田市区域环境影响评估工作实施细则</w:t>
      </w:r>
    </w:p>
    <w:p w14:paraId="471B3B43">
      <w:pPr>
        <w:widowControl w:val="0"/>
        <w:wordWrap/>
        <w:snapToGrid w:val="0"/>
        <w:spacing w:line="600" w:lineRule="exact"/>
        <w:rPr>
          <w:rFonts w:hint="eastAsia" w:ascii="仿宋_GB2312" w:hAnsi="仿宋_GB2312" w:eastAsia="仿宋_GB2312" w:cs="仿宋_GB2312"/>
          <w:color w:val="auto"/>
          <w:sz w:val="32"/>
          <w:szCs w:val="32"/>
          <w:lang w:val="en-US" w:eastAsia="zh-CN"/>
        </w:rPr>
      </w:pPr>
    </w:p>
    <w:p w14:paraId="734070EA">
      <w:pPr>
        <w:widowControl w:val="0"/>
        <w:wordWrap/>
        <w:snapToGrid w:val="0"/>
        <w:spacing w:line="600" w:lineRule="exact"/>
        <w:rPr>
          <w:rFonts w:hint="eastAsia"/>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color w:val="auto"/>
          <w:sz w:val="32"/>
          <w:szCs w:val="32"/>
          <w:lang w:val="en-US" w:eastAsia="zh-CN"/>
        </w:rPr>
        <w:t xml:space="preserve">                       </w:t>
      </w:r>
    </w:p>
    <w:p w14:paraId="2A7B8C6F">
      <w:pPr>
        <w:pStyle w:val="2"/>
        <w:widowControl w:val="0"/>
        <w:wordWrap/>
        <w:snapToGrid w:val="0"/>
        <w:spacing w:line="600" w:lineRule="exact"/>
        <w:ind w:firstLine="4480" w:firstLineChars="1400"/>
        <w:rPr>
          <w:rFonts w:hint="default" w:ascii="仿宋_GB2312" w:hAnsi="仿宋_GB2312" w:eastAsia="仿宋_GB2312" w:cs="仿宋_GB2312"/>
          <w:color w:val="auto"/>
          <w:kern w:val="2"/>
          <w:sz w:val="32"/>
          <w:szCs w:val="32"/>
          <w:lang w:val="en-US" w:eastAsia="zh-CN" w:bidi="ar-SA"/>
        </w:rPr>
      </w:pPr>
      <w:r>
        <w:rPr>
          <w:rFonts w:hint="eastAsia"/>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莆田市生态环境局</w:t>
      </w:r>
    </w:p>
    <w:p w14:paraId="62ABBC26">
      <w:pPr>
        <w:widowControl w:val="0"/>
        <w:wordWrap/>
        <w:snapToGrid w:val="0"/>
        <w:spacing w:line="600" w:lineRule="exact"/>
        <w:ind w:left="-2" w:leftChars="-57" w:hanging="118" w:hangingChars="37"/>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2025年6月4日</w:t>
      </w:r>
    </w:p>
    <w:p w14:paraId="3E17E089">
      <w:pPr>
        <w:pStyle w:val="2"/>
        <w:widowControl w:val="0"/>
        <w:wordWrap/>
        <w:spacing w:line="600" w:lineRule="exact"/>
        <w:jc w:val="both"/>
        <w:rPr>
          <w:rFonts w:hint="eastAsia" w:ascii="仿宋_GB2312" w:hAnsi="仿宋_GB2312" w:eastAsia="仿宋_GB2312" w:cs="仿宋_GB2312"/>
          <w:b w:val="0"/>
          <w:bCs w:val="0"/>
          <w:color w:val="auto"/>
          <w:sz w:val="28"/>
          <w:szCs w:val="28"/>
          <w:lang w:eastAsia="zh-CN"/>
        </w:rPr>
      </w:pPr>
    </w:p>
    <w:p w14:paraId="4F0983A1">
      <w:pPr>
        <w:widowControl w:val="0"/>
        <w:wordWrap/>
        <w:spacing w:line="600" w:lineRule="exact"/>
        <w:ind w:firstLine="640" w:firstLineChars="200"/>
        <w:rPr>
          <w:rFonts w:hint="eastAsia"/>
          <w:lang w:eastAsia="zh-CN"/>
        </w:rPr>
      </w:pPr>
      <w:r>
        <w:rPr>
          <w:rFonts w:hint="eastAsia" w:ascii="仿宋_GB2312" w:hAnsi="仿宋_GB2312" w:eastAsia="仿宋_GB2312" w:cs="仿宋_GB2312"/>
          <w:b w:val="0"/>
          <w:bCs w:val="0"/>
          <w:color w:val="auto"/>
          <w:sz w:val="32"/>
          <w:szCs w:val="32"/>
          <w:lang w:eastAsia="zh-CN"/>
        </w:rPr>
        <w:t>（此件主动公开）</w:t>
      </w:r>
    </w:p>
    <w:p w14:paraId="480C0B53">
      <w:pPr>
        <w:pStyle w:val="2"/>
        <w:jc w:val="both"/>
        <w:rPr>
          <w:rFonts w:hint="eastAsia" w:ascii="仿宋_GB2312" w:hAnsi="仿宋_GB2312" w:eastAsia="仿宋_GB2312" w:cs="仿宋_GB2312"/>
          <w:b w:val="0"/>
          <w:bCs w:val="0"/>
          <w:color w:val="auto"/>
          <w:sz w:val="28"/>
          <w:szCs w:val="28"/>
          <w:lang w:eastAsia="zh-CN"/>
        </w:rPr>
      </w:pPr>
    </w:p>
    <w:p w14:paraId="4B4FFB05">
      <w:pPr>
        <w:pStyle w:val="2"/>
        <w:jc w:val="both"/>
        <w:rPr>
          <w:rFonts w:hint="eastAsia" w:ascii="仿宋_GB2312" w:hAnsi="仿宋_GB2312" w:eastAsia="仿宋_GB2312" w:cs="仿宋_GB2312"/>
          <w:b w:val="0"/>
          <w:bCs w:val="0"/>
          <w:color w:val="auto"/>
          <w:sz w:val="28"/>
          <w:szCs w:val="28"/>
          <w:lang w:eastAsia="zh-CN"/>
        </w:rPr>
      </w:pPr>
    </w:p>
    <w:p w14:paraId="62FE5D11">
      <w:pPr>
        <w:pStyle w:val="2"/>
        <w:jc w:val="both"/>
        <w:rPr>
          <w:rFonts w:hint="eastAsia" w:ascii="仿宋_GB2312" w:hAnsi="仿宋_GB2312" w:eastAsia="仿宋_GB2312" w:cs="仿宋_GB2312"/>
          <w:b w:val="0"/>
          <w:bCs w:val="0"/>
          <w:color w:val="auto"/>
          <w:sz w:val="28"/>
          <w:szCs w:val="28"/>
          <w:lang w:eastAsia="zh-CN"/>
        </w:rPr>
      </w:pPr>
    </w:p>
    <w:p w14:paraId="7F518175">
      <w:pPr>
        <w:pStyle w:val="2"/>
        <w:jc w:val="both"/>
        <w:rPr>
          <w:rFonts w:hint="eastAsia" w:ascii="仿宋_GB2312" w:hAnsi="仿宋_GB2312" w:eastAsia="仿宋_GB2312" w:cs="仿宋_GB2312"/>
          <w:b w:val="0"/>
          <w:bCs w:val="0"/>
          <w:color w:val="auto"/>
          <w:sz w:val="28"/>
          <w:szCs w:val="28"/>
          <w:lang w:eastAsia="zh-CN"/>
        </w:rPr>
      </w:pPr>
    </w:p>
    <w:p w14:paraId="4C1A4641">
      <w:pPr>
        <w:pStyle w:val="2"/>
        <w:ind w:left="0" w:leftChars="0" w:firstLine="0" w:firstLineChars="0"/>
        <w:jc w:val="both"/>
        <w:rPr>
          <w:rFonts w:hint="eastAsia" w:ascii="仿宋_GB2312" w:hAnsi="仿宋_GB2312" w:eastAsia="仿宋_GB2312" w:cs="仿宋_GB2312"/>
          <w:b w:val="0"/>
          <w:bCs w:val="0"/>
          <w:color w:val="auto"/>
          <w:sz w:val="28"/>
          <w:szCs w:val="28"/>
          <w:lang w:eastAsia="zh-CN"/>
        </w:rPr>
      </w:pPr>
    </w:p>
    <w:p w14:paraId="314E4C4E">
      <w:pPr>
        <w:pStyle w:val="2"/>
        <w:ind w:left="0" w:leftChars="0" w:firstLine="0" w:firstLineChars="0"/>
        <w:jc w:val="both"/>
        <w:rPr>
          <w:rFonts w:hint="eastAsia" w:ascii="仿宋_GB2312" w:hAnsi="仿宋_GB2312" w:eastAsia="仿宋_GB2312" w:cs="仿宋_GB2312"/>
          <w:b w:val="0"/>
          <w:bCs w:val="0"/>
          <w:color w:val="auto"/>
          <w:sz w:val="28"/>
          <w:szCs w:val="28"/>
          <w:lang w:eastAsia="zh-CN"/>
        </w:rPr>
      </w:pPr>
    </w:p>
    <w:p w14:paraId="743B3FC9">
      <w:pPr>
        <w:pStyle w:val="2"/>
        <w:ind w:left="0" w:leftChars="0" w:firstLine="0" w:firstLineChars="0"/>
        <w:jc w:val="both"/>
        <w:rPr>
          <w:rFonts w:hint="eastAsia" w:ascii="仿宋_GB2312" w:hAnsi="仿宋_GB2312" w:eastAsia="仿宋_GB2312" w:cs="仿宋_GB2312"/>
          <w:b w:val="0"/>
          <w:bCs w:val="0"/>
          <w:color w:val="auto"/>
          <w:sz w:val="28"/>
          <w:szCs w:val="28"/>
          <w:lang w:eastAsia="zh-CN"/>
        </w:rPr>
      </w:pPr>
    </w:p>
    <w:p w14:paraId="0861E205">
      <w:pPr>
        <w:pStyle w:val="2"/>
        <w:ind w:left="0" w:leftChars="0" w:firstLine="0" w:firstLineChars="0"/>
        <w:jc w:val="both"/>
        <w:rPr>
          <w:rFonts w:hint="eastAsia" w:ascii="仿宋_GB2312" w:hAnsi="仿宋_GB2312" w:eastAsia="仿宋_GB2312" w:cs="仿宋_GB2312"/>
          <w:b w:val="0"/>
          <w:bCs w:val="0"/>
          <w:color w:val="auto"/>
          <w:sz w:val="28"/>
          <w:szCs w:val="28"/>
          <w:lang w:eastAsia="zh-CN"/>
        </w:rPr>
      </w:pPr>
    </w:p>
    <w:p w14:paraId="4179F7DE">
      <w:pPr>
        <w:pStyle w:val="2"/>
        <w:ind w:left="0" w:leftChars="0" w:firstLine="0" w:firstLineChars="0"/>
        <w:jc w:val="both"/>
        <w:rPr>
          <w:rFonts w:hint="eastAsia" w:ascii="仿宋_GB2312" w:hAnsi="仿宋_GB2312" w:eastAsia="仿宋_GB2312" w:cs="仿宋_GB2312"/>
          <w:b w:val="0"/>
          <w:bCs w:val="0"/>
          <w:color w:val="auto"/>
          <w:sz w:val="28"/>
          <w:szCs w:val="28"/>
          <w:lang w:eastAsia="zh-CN"/>
        </w:rPr>
      </w:pPr>
    </w:p>
    <w:p w14:paraId="7664F3B5">
      <w:pPr>
        <w:pStyle w:val="2"/>
        <w:ind w:left="0" w:leftChars="0" w:firstLine="0" w:firstLineChars="0"/>
        <w:jc w:val="both"/>
        <w:rPr>
          <w:rFonts w:hint="eastAsia" w:ascii="仿宋_GB2312" w:hAnsi="仿宋_GB2312" w:eastAsia="仿宋_GB2312" w:cs="仿宋_GB2312"/>
          <w:b w:val="0"/>
          <w:bCs w:val="0"/>
          <w:color w:val="auto"/>
          <w:sz w:val="28"/>
          <w:szCs w:val="28"/>
          <w:lang w:eastAsia="zh-CN"/>
        </w:rPr>
      </w:pPr>
    </w:p>
    <w:p w14:paraId="6DB081FB">
      <w:pPr>
        <w:pStyle w:val="2"/>
        <w:ind w:left="0" w:leftChars="0" w:firstLine="0" w:firstLineChars="0"/>
        <w:jc w:val="both"/>
        <w:rPr>
          <w:rFonts w:hint="eastAsia" w:ascii="仿宋_GB2312" w:hAnsi="仿宋_GB2312" w:eastAsia="仿宋_GB2312" w:cs="仿宋_GB2312"/>
          <w:b w:val="0"/>
          <w:bCs w:val="0"/>
          <w:color w:val="auto"/>
          <w:sz w:val="28"/>
          <w:szCs w:val="28"/>
          <w:lang w:eastAsia="zh-CN"/>
        </w:rPr>
      </w:pPr>
    </w:p>
    <w:p w14:paraId="3D36CDC4">
      <w:pPr>
        <w:pStyle w:val="2"/>
        <w:ind w:left="0" w:leftChars="0" w:firstLine="0" w:firstLineChars="0"/>
        <w:jc w:val="both"/>
        <w:rPr>
          <w:rFonts w:hint="eastAsia" w:ascii="仿宋_GB2312" w:hAnsi="仿宋_GB2312" w:eastAsia="仿宋_GB2312" w:cs="仿宋_GB2312"/>
          <w:b w:val="0"/>
          <w:bCs w:val="0"/>
          <w:color w:val="auto"/>
          <w:sz w:val="28"/>
          <w:szCs w:val="28"/>
          <w:lang w:eastAsia="zh-CN"/>
        </w:rPr>
      </w:pPr>
    </w:p>
    <w:p w14:paraId="7ED665A6">
      <w:pPr>
        <w:pStyle w:val="2"/>
        <w:ind w:left="0" w:leftChars="0" w:firstLine="0" w:firstLineChars="0"/>
        <w:jc w:val="both"/>
        <w:rPr>
          <w:rFonts w:hint="eastAsia" w:ascii="仿宋_GB2312" w:hAnsi="仿宋_GB2312" w:eastAsia="仿宋_GB2312" w:cs="仿宋_GB2312"/>
          <w:b w:val="0"/>
          <w:bCs w:val="0"/>
          <w:color w:val="auto"/>
          <w:sz w:val="28"/>
          <w:szCs w:val="28"/>
          <w:lang w:eastAsia="zh-CN"/>
        </w:rPr>
      </w:pPr>
    </w:p>
    <w:p w14:paraId="55DE263D">
      <w:pPr>
        <w:pStyle w:val="2"/>
        <w:ind w:left="0" w:leftChars="0" w:firstLine="0" w:firstLineChars="0"/>
        <w:jc w:val="both"/>
        <w:rPr>
          <w:rFonts w:hint="eastAsia" w:ascii="仿宋_GB2312" w:hAnsi="仿宋_GB2312" w:eastAsia="仿宋_GB2312" w:cs="仿宋_GB2312"/>
          <w:b w:val="0"/>
          <w:bCs w:val="0"/>
          <w:color w:val="auto"/>
          <w:sz w:val="28"/>
          <w:szCs w:val="28"/>
          <w:lang w:eastAsia="zh-CN"/>
        </w:rPr>
      </w:pPr>
    </w:p>
    <w:p w14:paraId="1D43A71F">
      <w:pPr>
        <w:pStyle w:val="2"/>
        <w:ind w:left="0" w:leftChars="0" w:firstLine="0" w:firstLineChars="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附件</w:t>
      </w:r>
    </w:p>
    <w:p w14:paraId="56A4F2BA">
      <w:pPr>
        <w:widowControl w:val="0"/>
        <w:wordWrap/>
        <w:adjustRightInd/>
        <w:snapToGrid/>
        <w:spacing w:line="480" w:lineRule="exact"/>
        <w:textAlignment w:val="auto"/>
        <w:rPr>
          <w:rFonts w:hint="eastAsia"/>
          <w:lang w:eastAsia="zh-CN"/>
        </w:rPr>
      </w:pPr>
    </w:p>
    <w:p w14:paraId="396D089A">
      <w:pPr>
        <w:pStyle w:val="2"/>
        <w:ind w:left="0" w:leftChars="0" w:firstLine="0" w:firstLineChars="0"/>
        <w:jc w:val="center"/>
        <w:rPr>
          <w:rFonts w:hint="eastAsia" w:ascii="方正小标宋简体" w:hAnsi="方正小标宋简体" w:eastAsia="方正小标宋简体" w:cs="方正小标宋简体"/>
          <w:b w:val="0"/>
          <w:bCs w:val="0"/>
          <w:color w:val="auto"/>
          <w:sz w:val="40"/>
          <w:szCs w:val="40"/>
          <w:lang w:eastAsia="zh-CN"/>
        </w:rPr>
      </w:pPr>
      <w:r>
        <w:rPr>
          <w:rFonts w:hint="eastAsia" w:ascii="方正小标宋简体" w:hAnsi="方正小标宋简体" w:eastAsia="方正小标宋简体" w:cs="方正小标宋简体"/>
          <w:b w:val="0"/>
          <w:bCs w:val="0"/>
          <w:color w:val="auto"/>
          <w:sz w:val="40"/>
          <w:szCs w:val="40"/>
          <w:lang w:eastAsia="zh-CN"/>
        </w:rPr>
        <w:t>莆田市区域环境影响评估工作实施细则</w:t>
      </w:r>
    </w:p>
    <w:p w14:paraId="0ACE1B5B">
      <w:pPr>
        <w:widowControl w:val="0"/>
        <w:wordWrap/>
        <w:adjustRightInd/>
        <w:snapToGrid/>
        <w:spacing w:line="480" w:lineRule="exact"/>
        <w:textAlignment w:val="auto"/>
        <w:rPr>
          <w:rFonts w:hint="eastAsia"/>
          <w:color w:val="auto"/>
          <w:lang w:val="en-US" w:eastAsia="zh-CN"/>
        </w:rPr>
      </w:pPr>
    </w:p>
    <w:p w14:paraId="0AEA85E3">
      <w:pPr>
        <w:widowControl w:val="0"/>
        <w:wordWrap/>
        <w:snapToGrid/>
        <w:spacing w:line="600" w:lineRule="exact"/>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为贯彻落实党中央、国务院和省委、省政府及市委、市政府关于优化营商环境有关决策部署，</w:t>
      </w:r>
      <w:r>
        <w:rPr>
          <w:rFonts w:hint="default" w:ascii="仿宋_GB2312" w:hAnsi="仿宋_GB2312" w:eastAsia="仿宋_GB2312" w:cs="仿宋_GB2312"/>
          <w:color w:val="auto"/>
          <w:sz w:val="32"/>
          <w:szCs w:val="32"/>
          <w:lang w:val="en-US" w:eastAsia="zh-CN"/>
        </w:rPr>
        <w:t>进一步强化环境影响评价要素保障，持续</w:t>
      </w:r>
      <w:r>
        <w:rPr>
          <w:rFonts w:hint="eastAsia" w:ascii="仿宋_GB2312" w:hAnsi="仿宋_GB2312" w:eastAsia="仿宋_GB2312" w:cs="仿宋_GB2312"/>
          <w:color w:val="auto"/>
          <w:sz w:val="32"/>
          <w:szCs w:val="32"/>
          <w:lang w:val="en-US" w:eastAsia="zh-CN"/>
        </w:rPr>
        <w:t>改善区域生态环境质量</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提高环评审批服务效能，</w:t>
      </w:r>
      <w:r>
        <w:rPr>
          <w:rFonts w:hint="default" w:ascii="仿宋_GB2312" w:hAnsi="仿宋_GB2312" w:eastAsia="仿宋_GB2312" w:cs="仿宋_GB2312"/>
          <w:color w:val="auto"/>
          <w:sz w:val="32"/>
          <w:szCs w:val="32"/>
          <w:lang w:val="en-US" w:eastAsia="zh-CN"/>
        </w:rPr>
        <w:t>以高水平保护推动</w:t>
      </w:r>
      <w:r>
        <w:rPr>
          <w:rFonts w:hint="eastAsia" w:ascii="仿宋_GB2312" w:hAnsi="仿宋_GB2312" w:eastAsia="仿宋_GB2312" w:cs="仿宋_GB2312"/>
          <w:color w:val="auto"/>
          <w:sz w:val="32"/>
          <w:szCs w:val="32"/>
          <w:lang w:val="en-US" w:eastAsia="zh-CN"/>
        </w:rPr>
        <w:t>我市社会</w:t>
      </w:r>
      <w:r>
        <w:rPr>
          <w:rFonts w:hint="default" w:ascii="仿宋_GB2312" w:hAnsi="仿宋_GB2312" w:eastAsia="仿宋_GB2312" w:cs="仿宋_GB2312"/>
          <w:color w:val="auto"/>
          <w:sz w:val="32"/>
          <w:szCs w:val="32"/>
          <w:lang w:val="en-US" w:eastAsia="zh-CN"/>
        </w:rPr>
        <w:t>经济高质量发展</w:t>
      </w:r>
      <w:r>
        <w:rPr>
          <w:rFonts w:hint="eastAsia" w:ascii="仿宋_GB2312" w:hAnsi="仿宋_GB2312" w:eastAsia="仿宋_GB2312" w:cs="仿宋_GB2312"/>
          <w:color w:val="auto"/>
          <w:sz w:val="32"/>
          <w:szCs w:val="32"/>
          <w:lang w:val="en-US" w:eastAsia="zh-CN"/>
        </w:rPr>
        <w:t>，结合我市生态环境工作实际，制定本实施细则。</w:t>
      </w:r>
    </w:p>
    <w:p w14:paraId="066A4140">
      <w:pPr>
        <w:pStyle w:val="2"/>
        <w:widowControl w:val="0"/>
        <w:wordWrap/>
        <w:snapToGrid/>
        <w:spacing w:line="600" w:lineRule="exact"/>
        <w:ind w:left="0" w:leftChars="0"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一、适用范围</w:t>
      </w:r>
    </w:p>
    <w:p w14:paraId="5D9A8D46">
      <w:pPr>
        <w:widowControl w:val="0"/>
        <w:wordWrap/>
        <w:snapToGrid/>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土地和规划手续完备、功能定位</w:t>
      </w:r>
      <w:r>
        <w:rPr>
          <w:rFonts w:hint="eastAsia" w:ascii="仿宋_GB2312" w:hAnsi="仿宋_GB2312" w:eastAsia="仿宋_GB2312" w:cs="仿宋_GB2312"/>
          <w:b w:val="0"/>
          <w:bCs w:val="0"/>
          <w:color w:val="auto"/>
          <w:sz w:val="32"/>
          <w:szCs w:val="32"/>
          <w:u w:val="none"/>
          <w:lang w:val="en-US" w:eastAsia="zh-CN"/>
        </w:rPr>
        <w:t>和产业发展方向明确、单</w:t>
      </w:r>
      <w:r>
        <w:rPr>
          <w:rFonts w:hint="eastAsia" w:ascii="仿宋_GB2312" w:hAnsi="仿宋_GB2312" w:eastAsia="仿宋_GB2312" w:cs="仿宋_GB2312"/>
          <w:color w:val="auto"/>
          <w:sz w:val="32"/>
          <w:szCs w:val="32"/>
          <w:lang w:val="en-US" w:eastAsia="zh-CN"/>
        </w:rPr>
        <w:t xml:space="preserve">体项目个性化要求不高的高新技术开发区、经济开发区、产业聚集区、工业园区、特色小镇、新城开发、旅游度假区以及其他特定区域范围内等功能区以及县级以上人民政府确定的其他特定区域，试点推行区域环境影响评估。  </w:t>
      </w:r>
    </w:p>
    <w:p w14:paraId="75A082BC">
      <w:pPr>
        <w:widowControl w:val="0"/>
        <w:wordWrap/>
        <w:snapToGrid/>
        <w:spacing w:line="60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二、评估报告编制及审查</w:t>
      </w:r>
    </w:p>
    <w:p w14:paraId="7E185BD4">
      <w:pPr>
        <w:widowControl w:val="0"/>
        <w:wordWrap/>
        <w:snapToGrid/>
        <w:spacing w:line="600" w:lineRule="exact"/>
        <w:ind w:firstLine="640" w:firstLineChars="200"/>
        <w:jc w:val="both"/>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lang w:val="en-US" w:eastAsia="zh-CN"/>
        </w:rPr>
        <w:t>试点管理机构或县（区）人民政府（管委会）为区域环境影响评估的责任主体，负责组织开展区域环境影响评估工作，并对其组织编制的区域环境影响评估报告的质量和结论负责。</w:t>
      </w:r>
      <w:r>
        <w:rPr>
          <w:rFonts w:hint="eastAsia" w:ascii="仿宋_GB2312" w:hAnsi="仿宋_GB2312" w:eastAsia="仿宋_GB2312" w:cs="仿宋_GB2312"/>
          <w:color w:val="auto"/>
          <w:sz w:val="32"/>
          <w:szCs w:val="32"/>
          <w:lang w:val="en-US" w:eastAsia="zh-CN"/>
        </w:rPr>
        <w:t>区域环境影响评估报告应</w:t>
      </w:r>
      <w:r>
        <w:rPr>
          <w:rFonts w:hint="eastAsia" w:ascii="仿宋_GB2312" w:hAnsi="仿宋_GB2312" w:eastAsia="仿宋_GB2312" w:cs="仿宋_GB2312"/>
          <w:b w:val="0"/>
          <w:bCs w:val="0"/>
          <w:color w:val="auto"/>
          <w:sz w:val="32"/>
          <w:szCs w:val="32"/>
          <w:lang w:val="en-US" w:eastAsia="zh-CN"/>
        </w:rPr>
        <w:t>委</w:t>
      </w:r>
      <w:r>
        <w:rPr>
          <w:rFonts w:hint="eastAsia" w:ascii="仿宋_GB2312" w:hAnsi="仿宋_GB2312" w:eastAsia="仿宋_GB2312" w:cs="仿宋_GB2312"/>
          <w:color w:val="auto"/>
          <w:sz w:val="32"/>
          <w:szCs w:val="32"/>
          <w:lang w:val="en-US" w:eastAsia="zh-CN"/>
        </w:rPr>
        <w:t>托</w:t>
      </w:r>
      <w:r>
        <w:rPr>
          <w:rFonts w:hint="eastAsia" w:ascii="仿宋_GB2312" w:hAnsi="仿宋_GB2312" w:eastAsia="仿宋_GB2312" w:cs="仿宋_GB2312"/>
          <w:color w:val="auto"/>
          <w:sz w:val="32"/>
          <w:szCs w:val="32"/>
          <w:lang w:eastAsia="zh-CN"/>
        </w:rPr>
        <w:t>具备相应环境影响评价技术能力的技术咨询机构</w:t>
      </w:r>
      <w:r>
        <w:rPr>
          <w:rFonts w:hint="eastAsia" w:ascii="仿宋_GB2312" w:hAnsi="仿宋_GB2312" w:eastAsia="仿宋_GB2312" w:cs="仿宋_GB2312"/>
          <w:color w:val="auto"/>
          <w:sz w:val="32"/>
          <w:szCs w:val="32"/>
          <w:lang w:val="en-US" w:eastAsia="zh-CN"/>
        </w:rPr>
        <w:t>编制。</w:t>
      </w:r>
      <w:r>
        <w:rPr>
          <w:rFonts w:hint="eastAsia" w:ascii="仿宋_GB2312" w:hAnsi="仿宋_GB2312" w:eastAsia="仿宋_GB2312" w:cs="仿宋_GB2312"/>
          <w:b w:val="0"/>
          <w:bCs w:val="0"/>
          <w:color w:val="auto"/>
          <w:sz w:val="32"/>
          <w:szCs w:val="32"/>
          <w:u w:val="none"/>
          <w:lang w:val="en-US" w:eastAsia="zh-CN"/>
        </w:rPr>
        <w:t>评估报告由市生态环境局进行审查或备案，并出具审查或备案意见。</w:t>
      </w:r>
    </w:p>
    <w:p w14:paraId="65DB0145">
      <w:pPr>
        <w:pStyle w:val="2"/>
        <w:rPr>
          <w:rFonts w:hint="eastAsia"/>
          <w:lang w:val="en-US" w:eastAsia="zh-CN"/>
        </w:rPr>
      </w:pPr>
    </w:p>
    <w:p w14:paraId="22377A45">
      <w:pPr>
        <w:widowControl w:val="0"/>
        <w:wordWrap/>
        <w:snapToGrid/>
        <w:spacing w:line="60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三、技术规范</w:t>
      </w:r>
    </w:p>
    <w:p w14:paraId="4A7D8A75">
      <w:pPr>
        <w:widowControl w:val="0"/>
        <w:wordWrap/>
        <w:snapToGrid/>
        <w:spacing w:line="600" w:lineRule="exact"/>
        <w:ind w:firstLine="616" w:firstLineChars="200"/>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区域环境影响评估技术规范参照执行《规划环境影响评价技术导则 产业园区》</w:t>
      </w:r>
      <w:bookmarkStart w:id="0" w:name="_GoBack"/>
      <w:bookmarkEnd w:id="0"/>
      <w:r>
        <w:rPr>
          <w:rFonts w:hint="eastAsia" w:ascii="仿宋_GB2312" w:hAnsi="仿宋_GB2312" w:eastAsia="仿宋_GB2312" w:cs="仿宋_GB2312"/>
          <w:b w:val="0"/>
          <w:bCs w:val="0"/>
          <w:color w:val="auto"/>
          <w:spacing w:val="-6"/>
          <w:sz w:val="32"/>
          <w:szCs w:val="32"/>
          <w:u w:val="none"/>
          <w:lang w:val="en-US" w:eastAsia="zh-CN"/>
        </w:rPr>
        <w:t>《规划环境影响评价技术导则 总纲》</w:t>
      </w:r>
      <w:r>
        <w:rPr>
          <w:rFonts w:hint="eastAsia" w:ascii="仿宋_GB2312" w:hAnsi="仿宋_GB2312" w:eastAsia="仿宋_GB2312" w:cs="仿宋_GB2312"/>
          <w:color w:val="auto"/>
          <w:spacing w:val="-6"/>
          <w:sz w:val="32"/>
          <w:szCs w:val="32"/>
          <w:lang w:val="en-US" w:eastAsia="zh-CN"/>
        </w:rPr>
        <w:t>规定。</w:t>
      </w:r>
    </w:p>
    <w:p w14:paraId="5E3B3341">
      <w:pPr>
        <w:pStyle w:val="2"/>
        <w:widowControl w:val="0"/>
        <w:wordWrap/>
        <w:snapToGrid/>
        <w:spacing w:line="600" w:lineRule="exact"/>
        <w:ind w:left="0" w:leftChars="0"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四、成果应用</w:t>
      </w:r>
    </w:p>
    <w:p w14:paraId="00374DD0">
      <w:pPr>
        <w:widowControl w:val="0"/>
        <w:wordWrap/>
        <w:snapToGrid/>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评估的区域内包含的化工、石化、冶炼、造纸、印染类以及其他排放重金属和持久性污染物的环境影响较大项目，应按有关法律法规要求进行单独评估评审，在开展上述项目环境影响评价时，项目与相关规划的环境符合性分析可直接引用区域评估结论，选址合理性分析、生态环境质量现状调查的内容可进一步简化。</w:t>
      </w:r>
    </w:p>
    <w:p w14:paraId="4D934F9D">
      <w:pPr>
        <w:pStyle w:val="2"/>
        <w:widowControl w:val="0"/>
        <w:wordWrap/>
        <w:snapToGrid/>
        <w:spacing w:line="60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通过评估的</w:t>
      </w:r>
      <w:r>
        <w:rPr>
          <w:rFonts w:hint="eastAsia" w:ascii="仿宋_GB2312" w:hAnsi="仿宋_GB2312" w:eastAsia="仿宋_GB2312" w:cs="仿宋_GB2312"/>
          <w:b w:val="0"/>
          <w:bCs w:val="0"/>
          <w:color w:val="auto"/>
          <w:sz w:val="32"/>
          <w:szCs w:val="32"/>
          <w:u w:val="none"/>
          <w:lang w:val="en-US" w:eastAsia="zh-CN"/>
        </w:rPr>
        <w:t>区域内的主导产业</w:t>
      </w:r>
      <w:r>
        <w:rPr>
          <w:rFonts w:hint="eastAsia" w:ascii="仿宋_GB2312" w:hAnsi="仿宋_GB2312" w:eastAsia="仿宋_GB2312" w:cs="仿宋_GB2312"/>
          <w:color w:val="auto"/>
          <w:sz w:val="32"/>
          <w:szCs w:val="32"/>
          <w:lang w:val="en-US" w:eastAsia="zh-CN"/>
        </w:rPr>
        <w:t>以及不涉及环境敏感区的医院、学校、城市道路、市政管网、变电站等公共设施、社会事业与服务业等项目，项目建设单位无需单独编制和报批建设项目环境影响评价文件，直接依照评估报告告知的内容、要求，落实各项有关生态环境保护措施；对于编制环境影响登记表的建设项目，免于办理环境影响登记表备案手续。</w:t>
      </w:r>
    </w:p>
    <w:p w14:paraId="39477A96">
      <w:pPr>
        <w:pStyle w:val="2"/>
        <w:widowControl w:val="0"/>
        <w:wordWrap/>
        <w:snapToGrid/>
        <w:spacing w:line="600" w:lineRule="exact"/>
        <w:ind w:left="0" w:leftChars="0" w:firstLine="640" w:firstLineChars="200"/>
        <w:rPr>
          <w:rFonts w:hint="eastAsia" w:ascii="仿宋_GB2312" w:hAnsi="仿宋_GB2312" w:eastAsia="仿宋_GB2312" w:cs="仿宋_GB2312"/>
          <w:b/>
          <w:bCs/>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除上述项目外，通过评估的区域内其他环境影响可控的项目，实行环评告知承诺制审批，</w:t>
      </w:r>
      <w:r>
        <w:rPr>
          <w:rFonts w:hint="eastAsia" w:ascii="仿宋_GB2312" w:hAnsi="仿宋_GB2312" w:eastAsia="仿宋_GB2312" w:cs="仿宋_GB2312"/>
          <w:b w:val="0"/>
          <w:bCs w:val="0"/>
          <w:color w:val="auto"/>
          <w:sz w:val="32"/>
          <w:szCs w:val="32"/>
          <w:u w:val="none"/>
          <w:lang w:val="en-US" w:eastAsia="zh-CN"/>
        </w:rPr>
        <w:t>在</w:t>
      </w:r>
      <w:r>
        <w:rPr>
          <w:rFonts w:hint="default" w:ascii="仿宋_GB2312" w:hAnsi="仿宋_GB2312" w:eastAsia="仿宋_GB2312" w:cs="仿宋_GB2312"/>
          <w:b w:val="0"/>
          <w:bCs w:val="0"/>
          <w:color w:val="auto"/>
          <w:sz w:val="32"/>
          <w:szCs w:val="32"/>
          <w:u w:val="none"/>
          <w:lang w:val="en-US" w:eastAsia="zh-CN"/>
        </w:rPr>
        <w:t>明确相应企业的环保责任</w:t>
      </w:r>
      <w:r>
        <w:rPr>
          <w:rFonts w:hint="eastAsia" w:ascii="仿宋_GB2312" w:hAnsi="仿宋_GB2312" w:eastAsia="仿宋_GB2312" w:cs="仿宋_GB2312"/>
          <w:b w:val="0"/>
          <w:bCs w:val="0"/>
          <w:color w:val="auto"/>
          <w:sz w:val="32"/>
          <w:szCs w:val="32"/>
          <w:u w:val="none"/>
          <w:lang w:val="en-US" w:eastAsia="zh-CN"/>
        </w:rPr>
        <w:t>后</w:t>
      </w:r>
      <w:r>
        <w:rPr>
          <w:rFonts w:hint="default" w:ascii="仿宋_GB2312" w:hAnsi="仿宋_GB2312" w:eastAsia="仿宋_GB2312" w:cs="仿宋_GB2312"/>
          <w:b w:val="0"/>
          <w:bCs w:val="0"/>
          <w:color w:val="auto"/>
          <w:sz w:val="32"/>
          <w:szCs w:val="32"/>
          <w:u w:val="none"/>
          <w:lang w:val="en-US" w:eastAsia="zh-CN"/>
        </w:rPr>
        <w:t>可开展同类项目环评“打捆”审批。</w:t>
      </w:r>
    </w:p>
    <w:p w14:paraId="27E7657A">
      <w:pPr>
        <w:pStyle w:val="2"/>
        <w:widowControl w:val="0"/>
        <w:wordWrap/>
        <w:snapToGrid/>
        <w:spacing w:line="600" w:lineRule="exact"/>
        <w:ind w:left="0" w:leftChars="0"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五、工作要求</w:t>
      </w:r>
    </w:p>
    <w:p w14:paraId="075E874F">
      <w:pPr>
        <w:widowControl w:val="0"/>
        <w:wordWrap/>
        <w:snapToGrid/>
        <w:spacing w:line="600" w:lineRule="exact"/>
        <w:ind w:firstLine="640" w:firstLineChars="200"/>
        <w:rPr>
          <w:rFonts w:hint="eastAsia" w:ascii="仿宋_GB2312" w:hAnsi="仿宋_GB2312" w:eastAsia="仿宋_GB2312" w:cs="仿宋_GB2312"/>
          <w:b/>
          <w:bCs/>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区域环境影响评估通过审查后，每隔五年左右由试点管理机构或</w:t>
      </w:r>
      <w:r>
        <w:rPr>
          <w:rFonts w:hint="eastAsia" w:ascii="仿宋_GB2312" w:hAnsi="仿宋_GB2312" w:eastAsia="仿宋_GB2312" w:cs="仿宋_GB2312"/>
          <w:b w:val="0"/>
          <w:bCs w:val="0"/>
          <w:color w:val="auto"/>
          <w:sz w:val="32"/>
          <w:szCs w:val="32"/>
          <w:lang w:val="en-US" w:eastAsia="zh-CN"/>
        </w:rPr>
        <w:t>县（区）人民政府（管委会）</w:t>
      </w:r>
      <w:r>
        <w:rPr>
          <w:rFonts w:hint="eastAsia" w:ascii="仿宋_GB2312" w:hAnsi="仿宋_GB2312" w:eastAsia="仿宋_GB2312" w:cs="仿宋_GB2312"/>
          <w:color w:val="auto"/>
          <w:sz w:val="32"/>
          <w:szCs w:val="32"/>
          <w:lang w:val="en-US" w:eastAsia="zh-CN"/>
        </w:rPr>
        <w:t>进行一次环境影响跟踪评估，根据跟踪评估的结果及时采取相应措施或对规划进行调整，跟踪评估报告报市生态环境局备案。</w:t>
      </w:r>
      <w:r>
        <w:rPr>
          <w:rFonts w:hint="eastAsia" w:ascii="仿宋_GB2312" w:hAnsi="仿宋_GB2312" w:eastAsia="仿宋_GB2312" w:cs="仿宋_GB2312"/>
          <w:b w:val="0"/>
          <w:bCs w:val="0"/>
          <w:color w:val="auto"/>
          <w:sz w:val="32"/>
          <w:szCs w:val="32"/>
          <w:u w:val="none"/>
          <w:lang w:val="en-US" w:eastAsia="zh-CN"/>
        </w:rPr>
        <w:t>在区域规划进行重大调整或修订时应重新或补充进行环境影响评估。对于区域发生重大环境违法事件或重大环境风险事故，不再适宜实施生态环境差异化准入要求的区域，由市生态环境局撤销区域环境影响评估报告及其审查意见。</w:t>
      </w:r>
    </w:p>
    <w:p w14:paraId="206A1D68">
      <w:pPr>
        <w:pStyle w:val="2"/>
        <w:widowControl w:val="0"/>
        <w:wordWrap/>
        <w:snapToGrid/>
        <w:spacing w:line="60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区域评估内的所有项目纳入事中事后监管，落实“双随机、一公开”制度。</w:t>
      </w:r>
    </w:p>
    <w:p w14:paraId="35CAA40E">
      <w:pPr>
        <w:pStyle w:val="2"/>
        <w:widowControl w:val="0"/>
        <w:wordWrap/>
        <w:snapToGrid/>
        <w:spacing w:line="600" w:lineRule="exact"/>
        <w:ind w:left="0" w:leftChars="0"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六、本实施细则自印发之日起施行，有效期5年。</w:t>
      </w:r>
    </w:p>
    <w:p w14:paraId="7CE50D25">
      <w:pPr>
        <w:rPr>
          <w:rFonts w:hint="eastAsia" w:ascii="仿宋_GB2312" w:hAnsi="仿宋_GB2312" w:eastAsia="仿宋_GB2312" w:cs="仿宋_GB2312"/>
          <w:color w:val="auto"/>
          <w:sz w:val="32"/>
          <w:szCs w:val="32"/>
          <w:lang w:val="en-US" w:eastAsia="zh-CN"/>
        </w:rPr>
      </w:pPr>
    </w:p>
    <w:p w14:paraId="4081C1BE">
      <w:pPr>
        <w:pStyle w:val="2"/>
        <w:rPr>
          <w:rFonts w:hint="eastAsia" w:ascii="仿宋_GB2312" w:hAnsi="仿宋_GB2312" w:eastAsia="仿宋_GB2312" w:cs="仿宋_GB2312"/>
          <w:color w:val="auto"/>
          <w:sz w:val="32"/>
          <w:szCs w:val="32"/>
          <w:lang w:val="en-US" w:eastAsia="zh-CN"/>
        </w:rPr>
      </w:pPr>
    </w:p>
    <w:p w14:paraId="5FDE2FA5">
      <w:pPr>
        <w:rPr>
          <w:rFonts w:hint="eastAsia" w:ascii="仿宋_GB2312" w:hAnsi="仿宋_GB2312" w:eastAsia="仿宋_GB2312" w:cs="仿宋_GB2312"/>
          <w:color w:val="auto"/>
          <w:sz w:val="32"/>
          <w:szCs w:val="32"/>
          <w:lang w:val="en-US" w:eastAsia="zh-CN"/>
        </w:rPr>
      </w:pPr>
    </w:p>
    <w:p w14:paraId="462639F9">
      <w:pPr>
        <w:pStyle w:val="2"/>
        <w:rPr>
          <w:rFonts w:hint="eastAsia" w:ascii="仿宋_GB2312" w:hAnsi="仿宋_GB2312" w:eastAsia="仿宋_GB2312" w:cs="仿宋_GB2312"/>
          <w:color w:val="auto"/>
          <w:sz w:val="32"/>
          <w:szCs w:val="32"/>
          <w:lang w:val="en-US" w:eastAsia="zh-CN"/>
        </w:rPr>
      </w:pPr>
    </w:p>
    <w:p w14:paraId="16284366">
      <w:pPr>
        <w:rPr>
          <w:rFonts w:hint="eastAsia" w:ascii="仿宋_GB2312" w:hAnsi="仿宋_GB2312" w:eastAsia="仿宋_GB2312" w:cs="仿宋_GB2312"/>
          <w:color w:val="auto"/>
          <w:sz w:val="32"/>
          <w:szCs w:val="32"/>
          <w:lang w:val="en-US" w:eastAsia="zh-CN"/>
        </w:rPr>
      </w:pPr>
    </w:p>
    <w:p w14:paraId="0F875437">
      <w:pPr>
        <w:pStyle w:val="2"/>
        <w:rPr>
          <w:rFonts w:hint="eastAsia" w:ascii="仿宋_GB2312" w:hAnsi="仿宋_GB2312" w:eastAsia="仿宋_GB2312" w:cs="仿宋_GB2312"/>
          <w:color w:val="auto"/>
          <w:sz w:val="32"/>
          <w:szCs w:val="32"/>
          <w:lang w:val="en-US" w:eastAsia="zh-CN"/>
        </w:rPr>
      </w:pPr>
    </w:p>
    <w:p w14:paraId="0751A716">
      <w:pPr>
        <w:rPr>
          <w:rFonts w:hint="eastAsia" w:ascii="仿宋_GB2312" w:hAnsi="仿宋_GB2312" w:eastAsia="仿宋_GB2312" w:cs="仿宋_GB2312"/>
          <w:color w:val="auto"/>
          <w:sz w:val="32"/>
          <w:szCs w:val="32"/>
          <w:lang w:val="en-US" w:eastAsia="zh-CN"/>
        </w:rPr>
      </w:pPr>
    </w:p>
    <w:p w14:paraId="4D7F3897">
      <w:pPr>
        <w:pStyle w:val="2"/>
        <w:rPr>
          <w:rFonts w:hint="eastAsia" w:ascii="仿宋_GB2312" w:hAnsi="仿宋_GB2312" w:eastAsia="仿宋_GB2312" w:cs="仿宋_GB2312"/>
          <w:color w:val="auto"/>
          <w:sz w:val="32"/>
          <w:szCs w:val="32"/>
          <w:lang w:val="en-US" w:eastAsia="zh-CN"/>
        </w:rPr>
      </w:pPr>
    </w:p>
    <w:p w14:paraId="0A6D3E6B">
      <w:pPr>
        <w:rPr>
          <w:rFonts w:hint="eastAsia" w:ascii="仿宋_GB2312" w:hAnsi="仿宋_GB2312" w:eastAsia="仿宋_GB2312" w:cs="仿宋_GB2312"/>
          <w:color w:val="auto"/>
          <w:sz w:val="32"/>
          <w:szCs w:val="32"/>
          <w:lang w:val="en-US" w:eastAsia="zh-CN"/>
        </w:rPr>
      </w:pPr>
    </w:p>
    <w:p w14:paraId="24C342C9">
      <w:pPr>
        <w:pStyle w:val="2"/>
        <w:rPr>
          <w:rFonts w:hint="eastAsia" w:ascii="仿宋_GB2312" w:hAnsi="仿宋_GB2312" w:eastAsia="仿宋_GB2312" w:cs="仿宋_GB2312"/>
          <w:color w:val="auto"/>
          <w:sz w:val="32"/>
          <w:szCs w:val="32"/>
          <w:lang w:val="en-US" w:eastAsia="zh-CN"/>
        </w:rPr>
      </w:pPr>
    </w:p>
    <w:p w14:paraId="20C3E2C9">
      <w:pPr>
        <w:rPr>
          <w:rFonts w:hint="eastAsia" w:ascii="仿宋_GB2312" w:hAnsi="仿宋_GB2312" w:eastAsia="仿宋_GB2312" w:cs="仿宋_GB2312"/>
          <w:color w:val="auto"/>
          <w:sz w:val="32"/>
          <w:szCs w:val="32"/>
          <w:lang w:val="en-US" w:eastAsia="zh-CN"/>
        </w:rPr>
      </w:pPr>
    </w:p>
    <w:p w14:paraId="009DBF78">
      <w:pPr>
        <w:pStyle w:val="2"/>
        <w:rPr>
          <w:rFonts w:hint="eastAsia" w:ascii="仿宋_GB2312" w:hAnsi="仿宋_GB2312" w:eastAsia="仿宋_GB2312" w:cs="仿宋_GB2312"/>
          <w:color w:val="auto"/>
          <w:sz w:val="32"/>
          <w:szCs w:val="32"/>
          <w:lang w:val="en-US" w:eastAsia="zh-CN"/>
        </w:rPr>
      </w:pPr>
    </w:p>
    <w:p w14:paraId="179CE954">
      <w:pPr>
        <w:rPr>
          <w:rFonts w:hint="eastAsia" w:ascii="仿宋_GB2312" w:hAnsi="仿宋_GB2312" w:eastAsia="仿宋_GB2312" w:cs="仿宋_GB2312"/>
          <w:color w:val="auto"/>
          <w:sz w:val="32"/>
          <w:szCs w:val="32"/>
          <w:lang w:val="en-US" w:eastAsia="zh-CN"/>
        </w:rPr>
      </w:pPr>
    </w:p>
    <w:p w14:paraId="5777796C">
      <w:pPr>
        <w:pStyle w:val="2"/>
        <w:rPr>
          <w:rFonts w:hint="eastAsia" w:ascii="仿宋_GB2312" w:hAnsi="仿宋_GB2312" w:eastAsia="仿宋_GB2312" w:cs="仿宋_GB2312"/>
          <w:color w:val="auto"/>
          <w:sz w:val="32"/>
          <w:szCs w:val="32"/>
          <w:lang w:val="en-US" w:eastAsia="zh-CN"/>
        </w:rPr>
      </w:pPr>
    </w:p>
    <w:p w14:paraId="3297DB6D">
      <w:pPr>
        <w:rPr>
          <w:rFonts w:hint="eastAsia" w:ascii="仿宋_GB2312" w:hAnsi="仿宋_GB2312" w:eastAsia="仿宋_GB2312" w:cs="仿宋_GB2312"/>
          <w:color w:val="auto"/>
          <w:sz w:val="32"/>
          <w:szCs w:val="32"/>
          <w:lang w:val="en-US" w:eastAsia="zh-CN"/>
        </w:rPr>
      </w:pPr>
    </w:p>
    <w:p w14:paraId="0EF2708A">
      <w:pPr>
        <w:pStyle w:val="2"/>
        <w:rPr>
          <w:rFonts w:hint="eastAsia" w:ascii="仿宋_GB2312" w:hAnsi="仿宋_GB2312" w:eastAsia="仿宋_GB2312" w:cs="仿宋_GB2312"/>
          <w:color w:val="auto"/>
          <w:sz w:val="32"/>
          <w:szCs w:val="32"/>
          <w:lang w:val="en-US" w:eastAsia="zh-CN"/>
        </w:rPr>
      </w:pPr>
    </w:p>
    <w:p w14:paraId="59AC2820">
      <w:pPr>
        <w:rPr>
          <w:rFonts w:hint="eastAsia" w:ascii="仿宋_GB2312" w:hAnsi="仿宋_GB2312" w:eastAsia="仿宋_GB2312" w:cs="仿宋_GB2312"/>
          <w:color w:val="auto"/>
          <w:sz w:val="32"/>
          <w:szCs w:val="32"/>
          <w:lang w:val="en-US" w:eastAsia="zh-CN"/>
        </w:rPr>
      </w:pPr>
    </w:p>
    <w:p w14:paraId="603154DE">
      <w:pPr>
        <w:pStyle w:val="2"/>
        <w:rPr>
          <w:rFonts w:hint="eastAsia" w:ascii="仿宋_GB2312" w:hAnsi="仿宋_GB2312" w:eastAsia="仿宋_GB2312" w:cs="仿宋_GB2312"/>
          <w:color w:val="auto"/>
          <w:sz w:val="32"/>
          <w:szCs w:val="32"/>
          <w:lang w:val="en-US" w:eastAsia="zh-CN"/>
        </w:rPr>
      </w:pPr>
    </w:p>
    <w:p w14:paraId="4B92CF50">
      <w:pPr>
        <w:rPr>
          <w:rFonts w:hint="eastAsia" w:ascii="仿宋_GB2312" w:hAnsi="仿宋_GB2312" w:eastAsia="仿宋_GB2312" w:cs="仿宋_GB2312"/>
          <w:color w:val="auto"/>
          <w:sz w:val="32"/>
          <w:szCs w:val="32"/>
          <w:lang w:val="en-US" w:eastAsia="zh-CN"/>
        </w:rPr>
      </w:pPr>
    </w:p>
    <w:p w14:paraId="5D9F5AD3">
      <w:pPr>
        <w:pStyle w:val="2"/>
        <w:rPr>
          <w:rFonts w:hint="eastAsia" w:ascii="仿宋_GB2312" w:hAnsi="仿宋_GB2312" w:eastAsia="仿宋_GB2312" w:cs="仿宋_GB2312"/>
          <w:color w:val="auto"/>
          <w:sz w:val="32"/>
          <w:szCs w:val="32"/>
          <w:lang w:val="en-US" w:eastAsia="zh-CN"/>
        </w:rPr>
      </w:pPr>
    </w:p>
    <w:p w14:paraId="1A4D1CAC">
      <w:pPr>
        <w:rPr>
          <w:rFonts w:hint="eastAsia" w:ascii="仿宋_GB2312" w:hAnsi="仿宋_GB2312" w:eastAsia="仿宋_GB2312" w:cs="仿宋_GB2312"/>
          <w:color w:val="auto"/>
          <w:sz w:val="32"/>
          <w:szCs w:val="32"/>
          <w:lang w:val="en-US" w:eastAsia="zh-CN"/>
        </w:rPr>
      </w:pPr>
    </w:p>
    <w:p w14:paraId="4613B3EB">
      <w:pPr>
        <w:pStyle w:val="2"/>
        <w:rPr>
          <w:rFonts w:hint="eastAsia" w:ascii="仿宋_GB2312" w:hAnsi="仿宋_GB2312" w:eastAsia="仿宋_GB2312" w:cs="仿宋_GB2312"/>
          <w:color w:val="auto"/>
          <w:sz w:val="32"/>
          <w:szCs w:val="32"/>
          <w:lang w:val="en-US" w:eastAsia="zh-CN"/>
        </w:rPr>
      </w:pPr>
    </w:p>
    <w:p w14:paraId="5E433ECA">
      <w:pPr>
        <w:rPr>
          <w:rFonts w:hint="eastAsia" w:ascii="仿宋_GB2312" w:hAnsi="仿宋_GB2312" w:eastAsia="仿宋_GB2312" w:cs="仿宋_GB2312"/>
          <w:color w:val="auto"/>
          <w:sz w:val="32"/>
          <w:szCs w:val="32"/>
          <w:lang w:val="en-US" w:eastAsia="zh-CN"/>
        </w:rPr>
      </w:pPr>
    </w:p>
    <w:p w14:paraId="6C73AC31">
      <w:pPr>
        <w:pStyle w:val="2"/>
        <w:rPr>
          <w:rFonts w:hint="eastAsia" w:ascii="仿宋_GB2312" w:hAnsi="仿宋_GB2312" w:eastAsia="仿宋_GB2312" w:cs="仿宋_GB2312"/>
          <w:color w:val="auto"/>
          <w:sz w:val="32"/>
          <w:szCs w:val="32"/>
          <w:lang w:val="en-US" w:eastAsia="zh-CN"/>
        </w:rPr>
      </w:pPr>
    </w:p>
    <w:p w14:paraId="3E3DC69D">
      <w:pPr>
        <w:rPr>
          <w:rFonts w:hint="eastAsia" w:ascii="仿宋_GB2312" w:hAnsi="仿宋_GB2312" w:eastAsia="仿宋_GB2312" w:cs="仿宋_GB2312"/>
          <w:color w:val="auto"/>
          <w:sz w:val="32"/>
          <w:szCs w:val="32"/>
          <w:lang w:val="en-US" w:eastAsia="zh-CN"/>
        </w:rPr>
      </w:pPr>
    </w:p>
    <w:p w14:paraId="654C34EB">
      <w:pPr>
        <w:pStyle w:val="2"/>
        <w:rPr>
          <w:rFonts w:hint="eastAsia" w:ascii="仿宋_GB2312" w:hAnsi="仿宋_GB2312" w:eastAsia="仿宋_GB2312" w:cs="仿宋_GB2312"/>
          <w:color w:val="auto"/>
          <w:sz w:val="32"/>
          <w:szCs w:val="32"/>
          <w:lang w:val="en-US" w:eastAsia="zh-CN"/>
        </w:rPr>
      </w:pPr>
    </w:p>
    <w:p w14:paraId="1E318F4E">
      <w:pPr>
        <w:rPr>
          <w:rFonts w:hint="eastAsia" w:ascii="仿宋_GB2312" w:hAnsi="仿宋_GB2312" w:eastAsia="仿宋_GB2312" w:cs="仿宋_GB2312"/>
          <w:color w:val="auto"/>
          <w:sz w:val="32"/>
          <w:szCs w:val="32"/>
          <w:lang w:val="en-US" w:eastAsia="zh-CN"/>
        </w:rPr>
      </w:pPr>
    </w:p>
    <w:p w14:paraId="7B955E94">
      <w:pPr>
        <w:pStyle w:val="2"/>
        <w:rPr>
          <w:rFonts w:hint="eastAsia" w:ascii="仿宋_GB2312" w:hAnsi="仿宋_GB2312" w:eastAsia="仿宋_GB2312" w:cs="仿宋_GB2312"/>
          <w:color w:val="auto"/>
          <w:sz w:val="32"/>
          <w:szCs w:val="32"/>
          <w:lang w:val="en-US" w:eastAsia="zh-CN"/>
        </w:rPr>
      </w:pPr>
    </w:p>
    <w:p w14:paraId="381F5F2F">
      <w:pPr>
        <w:rPr>
          <w:rFonts w:hint="eastAsia" w:ascii="仿宋_GB2312" w:hAnsi="仿宋_GB2312" w:eastAsia="仿宋_GB2312" w:cs="仿宋_GB2312"/>
          <w:color w:val="auto"/>
          <w:sz w:val="32"/>
          <w:szCs w:val="32"/>
          <w:lang w:val="en-US" w:eastAsia="zh-CN"/>
        </w:rPr>
      </w:pPr>
    </w:p>
    <w:p w14:paraId="13730939">
      <w:pPr>
        <w:pStyle w:val="2"/>
        <w:rPr>
          <w:rFonts w:hint="eastAsia" w:ascii="仿宋_GB2312" w:hAnsi="仿宋_GB2312" w:eastAsia="仿宋_GB2312" w:cs="仿宋_GB2312"/>
          <w:color w:val="auto"/>
          <w:sz w:val="32"/>
          <w:szCs w:val="32"/>
          <w:lang w:val="en-US" w:eastAsia="zh-CN"/>
        </w:rPr>
      </w:pPr>
    </w:p>
    <w:p w14:paraId="6AC0BC73">
      <w:pPr>
        <w:rPr>
          <w:rFonts w:hint="eastAsia" w:ascii="仿宋_GB2312" w:hAnsi="仿宋_GB2312" w:eastAsia="仿宋_GB2312" w:cs="仿宋_GB2312"/>
          <w:color w:val="auto"/>
          <w:sz w:val="32"/>
          <w:szCs w:val="32"/>
          <w:lang w:val="en-US" w:eastAsia="zh-CN"/>
        </w:rPr>
      </w:pPr>
    </w:p>
    <w:p w14:paraId="1A0974A9">
      <w:pPr>
        <w:pStyle w:val="2"/>
        <w:rPr>
          <w:rFonts w:hint="eastAsia"/>
          <w:lang w:val="en-US" w:eastAsia="zh-CN"/>
        </w:rPr>
      </w:pPr>
    </w:p>
    <w:p w14:paraId="1147695E">
      <w:pPr>
        <w:pStyle w:val="3"/>
        <w:widowControl w:val="0"/>
        <w:wordWrap/>
        <w:adjustRightInd/>
        <w:snapToGrid/>
        <w:spacing w:after="0" w:line="560" w:lineRule="exact"/>
        <w:ind w:left="1122" w:leftChars="133" w:hanging="843" w:hanging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kern w:val="2"/>
          <w:sz w:val="28"/>
          <w:szCs w:val="28"/>
          <w:lang w:val="en-US" w:eastAsia="zh-CN" w:bidi="ar-SA"/>
        </w:rPr>
        <w:pict>
          <v:line id="直接连接符 1" o:spid="_x0000_s1027" o:spt="20" style="position:absolute;left:0pt;margin-left:0pt;margin-top:2.3pt;height:0.05pt;width:442.2pt;z-index:25166131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hAnsi="仿宋_GB2312" w:eastAsia="仿宋_GB2312" w:cs="仿宋_GB2312"/>
          <w:color w:val="auto"/>
          <w:sz w:val="28"/>
          <w:szCs w:val="28"/>
        </w:rPr>
        <w:t>抄送：莆田市发改</w:t>
      </w:r>
      <w:r>
        <w:rPr>
          <w:rFonts w:hint="eastAsia" w:ascii="仿宋_GB2312" w:hAnsi="仿宋_GB2312" w:eastAsia="仿宋_GB2312" w:cs="仿宋_GB2312"/>
          <w:color w:val="auto"/>
          <w:sz w:val="28"/>
          <w:szCs w:val="28"/>
          <w:lang w:eastAsia="zh-CN"/>
        </w:rPr>
        <w:t>委，莆田市行政服务中心管委会，</w:t>
      </w:r>
      <w:r>
        <w:rPr>
          <w:rFonts w:hint="eastAsia" w:ascii="仿宋_GB2312" w:hAnsi="仿宋_GB2312" w:eastAsia="仿宋_GB2312" w:cs="仿宋_GB2312"/>
          <w:color w:val="auto"/>
          <w:kern w:val="2"/>
          <w:sz w:val="28"/>
          <w:szCs w:val="28"/>
          <w:lang w:val="en-US" w:eastAsia="zh-CN" w:bidi="ar-SA"/>
        </w:rPr>
        <w:t>各县（区）人民政府（管委会）。</w:t>
      </w:r>
    </w:p>
    <w:p w14:paraId="2D3CD61A">
      <w:pPr>
        <w:widowControl w:val="0"/>
        <w:tabs>
          <w:tab w:val="left" w:pos="0"/>
          <w:tab w:val="left" w:pos="360"/>
        </w:tabs>
        <w:wordWrap/>
        <w:adjustRightInd/>
        <w:snapToGrid/>
        <w:spacing w:line="560" w:lineRule="exact"/>
        <w:ind w:firstLine="280" w:firstLineChars="1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Calibri" w:eastAsia="仿宋_GB2312" w:cs="Times New Roman"/>
          <w:color w:val="auto"/>
          <w:kern w:val="2"/>
          <w:sz w:val="28"/>
          <w:szCs w:val="28"/>
          <w:lang w:val="en-US" w:eastAsia="zh-CN" w:bidi="ar-SA"/>
        </w:rPr>
        <w:pict>
          <v:line id="直接连接符 3" o:spid="_x0000_s1028" o:spt="20" style="position:absolute;left:0pt;margin-left:0pt;margin-top:32pt;height:0.05pt;width:442.2pt;z-index:2516602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hAnsi="Calibri" w:eastAsia="仿宋_GB2312" w:cs="Times New Roman"/>
          <w:b/>
          <w:color w:val="auto"/>
          <w:kern w:val="2"/>
          <w:sz w:val="28"/>
          <w:szCs w:val="28"/>
          <w:lang w:val="en-US" w:eastAsia="zh-CN" w:bidi="ar-SA"/>
        </w:rPr>
        <w:pict>
          <v:line id="直接连接符 2" o:spid="_x0000_s1029" o:spt="20" style="position:absolute;left:0pt;margin-left:0pt;margin-top:2.8pt;height:0.05pt;width:442.2pt;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eastAsia="仿宋_GB2312"/>
          <w:color w:val="auto"/>
          <w:sz w:val="28"/>
          <w:szCs w:val="28"/>
        </w:rPr>
        <w:t>莆田市</w:t>
      </w:r>
      <w:r>
        <w:rPr>
          <w:rFonts w:hint="eastAsia" w:ascii="仿宋_GB2312" w:eastAsia="仿宋_GB2312"/>
          <w:color w:val="auto"/>
          <w:sz w:val="28"/>
          <w:szCs w:val="28"/>
          <w:lang w:eastAsia="zh-CN"/>
        </w:rPr>
        <w:t>生态</w:t>
      </w:r>
      <w:r>
        <w:rPr>
          <w:rFonts w:hint="eastAsia" w:ascii="仿宋_GB2312" w:eastAsia="仿宋_GB2312"/>
          <w:color w:val="auto"/>
          <w:sz w:val="28"/>
          <w:szCs w:val="28"/>
        </w:rPr>
        <w:t xml:space="preserve">环境局办公室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highlight w:val="none"/>
        </w:rPr>
        <w:t xml:space="preserve"> 20</w:t>
      </w:r>
      <w:r>
        <w:rPr>
          <w:rFonts w:hint="eastAsia" w:ascii="仿宋_GB2312"/>
          <w:color w:val="auto"/>
          <w:sz w:val="28"/>
          <w:szCs w:val="28"/>
          <w:highlight w:val="none"/>
          <w:lang w:val="en-US" w:eastAsia="zh-CN"/>
        </w:rPr>
        <w:t>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日印发</w:t>
      </w:r>
    </w:p>
    <w:sectPr>
      <w:footerReference r:id="rId3" w:type="default"/>
      <w:pgSz w:w="11906" w:h="16838"/>
      <w:pgMar w:top="1701" w:right="1587" w:bottom="1474" w:left="1701" w:header="851" w:footer="992" w:gutter="0"/>
      <w:pgNumType w:fmt="numberInDash"/>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6C83A">
    <w:pPr>
      <w:pStyle w:val="5"/>
    </w:pPr>
    <w:r>
      <w:rPr>
        <w:rFonts w:ascii="Calibri" w:hAnsi="Calibri" w:eastAsia="宋体" w:cs="Times New Roman"/>
        <w:kern w:val="2"/>
        <w:sz w:val="18"/>
        <w:szCs w:val="18"/>
        <w:lang w:val="en-US" w:eastAsia="zh-CN" w:bidi="ar-SA"/>
      </w:rPr>
      <w:pict>
        <v:rect id="文本框 8" o:spid="_x0000_s2049"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83EB54D">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DD104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link w:val="11"/>
    <w:semiHidden/>
    <w:qFormat/>
    <w:uiPriority w:val="0"/>
    <w:rPr>
      <w:rFonts w:ascii="宋体" w:hAnsi="宋体" w:eastAsia="宋体" w:cs="宋体"/>
      <w:kern w:val="2"/>
      <w:sz w:val="24"/>
      <w:szCs w:val="24"/>
    </w:rPr>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12" w:lineRule="atLeast"/>
      <w:ind w:firstLine="420"/>
      <w:textAlignment w:val="baseline"/>
    </w:pPr>
    <w:rPr>
      <w:kern w:val="0"/>
      <w:szCs w:val="20"/>
    </w:rPr>
  </w:style>
  <w:style w:type="paragraph" w:styleId="3">
    <w:name w:val="Body Text"/>
    <w:basedOn w:val="1"/>
    <w:qFormat/>
    <w:uiPriority w:val="0"/>
    <w:pPr>
      <w:spacing w:after="120"/>
    </w:pPr>
  </w:style>
  <w:style w:type="paragraph" w:styleId="4">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6"/>
    <w:qFormat/>
    <w:uiPriority w:val="0"/>
    <w:pPr>
      <w:widowControl w:val="0"/>
      <w:spacing w:before="0" w:beforeAutospacing="1" w:after="0" w:afterAutospacing="1"/>
      <w:ind w:left="0" w:right="0"/>
      <w:jc w:val="left"/>
    </w:pPr>
    <w:rPr>
      <w:rFonts w:hint="default" w:ascii="Calibri" w:hAnsi="Calibri" w:eastAsia="宋体" w:cs="Times New Roman"/>
      <w:kern w:val="0"/>
      <w:sz w:val="24"/>
      <w:szCs w:val="24"/>
      <w:lang w:val="en-US" w:eastAsia="zh-CN"/>
    </w:rPr>
  </w:style>
  <w:style w:type="paragraph" w:styleId="8">
    <w:name w:val="Body Text First Indent 2"/>
    <w:basedOn w:val="4"/>
    <w:next w:val="1"/>
    <w:qFormat/>
    <w:uiPriority w:val="0"/>
    <w:pPr>
      <w:ind w:firstLine="420"/>
    </w:pPr>
  </w:style>
  <w:style w:type="paragraph" w:customStyle="1" w:styleId="11">
    <w:name w:val="默认段落字体 Para Char"/>
    <w:basedOn w:val="1"/>
    <w:next w:val="1"/>
    <w:link w:val="10"/>
    <w:qFormat/>
    <w:uiPriority w:val="0"/>
    <w:pPr>
      <w:spacing w:line="360" w:lineRule="auto"/>
    </w:pPr>
    <w:rPr>
      <w:rFonts w:ascii="宋体" w:hAnsi="宋体" w:eastAsia="宋体" w:cs="宋体"/>
      <w:kern w:val="2"/>
      <w:sz w:val="24"/>
      <w:szCs w:val="24"/>
    </w:rPr>
  </w:style>
  <w:style w:type="character" w:styleId="12">
    <w:name w:val="page number"/>
    <w:basedOn w:val="10"/>
    <w:qFormat/>
    <w:uiPriority w:val="0"/>
  </w:style>
  <w:style w:type="character" w:styleId="13">
    <w:name w:val="Emphasis"/>
    <w:basedOn w:val="10"/>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1508</Words>
  <Characters>1526</Characters>
  <Lines>0</Lines>
  <Paragraphs>0</Paragraphs>
  <TotalTime>0</TotalTime>
  <ScaleCrop>false</ScaleCrop>
  <LinksUpToDate>false</LinksUpToDate>
  <CharactersWithSpaces>1601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2019-09-11T02:28:00Z</dcterms:created>
  <dc:creator>Administrator</dc:creator>
  <cp:lastModifiedBy>莆田环保局环评科</cp:lastModifiedBy>
  <cp:lastPrinted>2019-09-27T08:07:00Z</cp:lastPrinted>
  <dcterms:modified xsi:type="dcterms:W3CDTF">2025-06-05T08:03:28Z</dcterms:modified>
  <dc:title>关于印发《莆田市区域环境影响评估工作实施细则（试行）（修订版）》的通知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eyJoZGlkIjoiZjc4ZDU1ZTc4YjU0MWIwZmM5NTM4YTA3MTQ2MGZiYTUiLCJ1c2VySWQiOiI2NDkyOTQ1MzIifQ==</vt:lpwstr>
  </property>
  <property fmtid="{D5CDD505-2E9C-101B-9397-08002B2CF9AE}" pid="4" name="ICV">
    <vt:lpwstr>8754065A2ABD4B9CBAA38E3168B16FC2_13</vt:lpwstr>
  </property>
</Properties>
</file>