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仿宋" w:eastAsia="仿宋_GB2312" w:cs="仿宋"/>
          <w:sz w:val="32"/>
          <w:szCs w:val="32"/>
        </w:rPr>
      </w:pPr>
    </w:p>
    <w:p>
      <w:pPr>
        <w:widowControl/>
        <w:suppressAutoHyphens/>
        <w:adjustRightInd w:val="0"/>
        <w:snapToGrid w:val="0"/>
        <w:spacing w:line="600" w:lineRule="exact"/>
        <w:jc w:val="center"/>
        <w:rPr>
          <w:rFonts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加强海洋生态环境保护</w:t>
      </w:r>
      <w:r>
        <w:rPr>
          <w:rFonts w:hint="eastAsia" w:ascii="方正小标宋简体" w:eastAsia="方正小标宋简体"/>
          <w:bCs/>
          <w:sz w:val="44"/>
          <w:szCs w:val="44"/>
        </w:rPr>
        <w:t>服务“海上莆田</w:t>
      </w:r>
      <w:r>
        <w:rPr>
          <w:rFonts w:hint="eastAsia" w:ascii="方正小标宋简体" w:hAnsi="Calibri" w:eastAsia="方正小标宋简体" w:cs="Times New Roman"/>
          <w:bCs/>
          <w:sz w:val="44"/>
          <w:szCs w:val="44"/>
        </w:rPr>
        <w:t>”</w:t>
      </w:r>
    </w:p>
    <w:p>
      <w:pPr>
        <w:widowControl/>
        <w:adjustRightInd w:val="0"/>
        <w:snapToGrid w:val="0"/>
        <w:spacing w:line="600" w:lineRule="exact"/>
        <w:jc w:val="center"/>
        <w:rPr>
          <w:rFonts w:ascii="方正小标宋简体" w:eastAsia="方正小标宋简体"/>
          <w:bCs/>
          <w:sz w:val="44"/>
          <w:szCs w:val="44"/>
        </w:rPr>
      </w:pPr>
      <w:r>
        <w:rPr>
          <w:rFonts w:hint="eastAsia" w:ascii="方正小标宋简体" w:hAnsi="Calibri" w:eastAsia="方正小标宋简体" w:cs="Times New Roman"/>
          <w:bCs/>
          <w:sz w:val="44"/>
          <w:szCs w:val="44"/>
        </w:rPr>
        <w:t>建设工作方案（2022—2023年）</w:t>
      </w:r>
    </w:p>
    <w:p>
      <w:pPr>
        <w:pStyle w:val="7"/>
        <w:spacing w:line="600" w:lineRule="exact"/>
        <w:ind w:firstLine="640"/>
        <w:jc w:val="center"/>
        <w:rPr>
          <w:sz w:val="32"/>
          <w:szCs w:val="32"/>
        </w:rPr>
      </w:pPr>
    </w:p>
    <w:p>
      <w:pPr>
        <w:adjustRightInd w:val="0"/>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为</w:t>
      </w:r>
      <w:r>
        <w:rPr>
          <w:rFonts w:hint="eastAsia" w:ascii="仿宋_GB2312" w:eastAsia="仿宋_GB2312"/>
          <w:sz w:val="32"/>
          <w:szCs w:val="32"/>
        </w:rPr>
        <w:t>全面</w:t>
      </w:r>
      <w:r>
        <w:rPr>
          <w:rFonts w:hint="eastAsia" w:ascii="仿宋_GB2312" w:hAnsi="Calibri" w:eastAsia="仿宋_GB2312" w:cs="Times New Roman"/>
          <w:sz w:val="32"/>
          <w:szCs w:val="32"/>
        </w:rPr>
        <w:t>落实《</w:t>
      </w:r>
      <w:r>
        <w:rPr>
          <w:rFonts w:hint="eastAsia" w:ascii="仿宋_GB2312" w:eastAsia="仿宋_GB2312"/>
          <w:sz w:val="32"/>
          <w:szCs w:val="32"/>
        </w:rPr>
        <w:t>莆田市人民政府</w:t>
      </w:r>
      <w:r>
        <w:rPr>
          <w:rFonts w:hint="eastAsia" w:ascii="仿宋_GB2312" w:hAnsi="Calibri" w:eastAsia="仿宋_GB2312" w:cs="Times New Roman"/>
          <w:sz w:val="32"/>
          <w:szCs w:val="32"/>
        </w:rPr>
        <w:t>关于印发加快建设“海上莆田”推进海洋经济高质量发展三年行动方案（2021—202</w:t>
      </w:r>
      <w:bookmarkStart w:id="1" w:name="_GoBack"/>
      <w:bookmarkEnd w:id="1"/>
      <w:r>
        <w:rPr>
          <w:rFonts w:hint="eastAsia" w:ascii="仿宋_GB2312" w:hAnsi="Calibri" w:eastAsia="仿宋_GB2312" w:cs="Times New Roman"/>
          <w:sz w:val="32"/>
          <w:szCs w:val="32"/>
        </w:rPr>
        <w:t>3年）的通知》（莆政综〔2021〕141</w:t>
      </w:r>
      <w:r>
        <w:rPr>
          <w:rFonts w:hint="eastAsia" w:ascii="仿宋_GB2312" w:eastAsia="仿宋_GB2312"/>
          <w:sz w:val="32"/>
          <w:szCs w:val="32"/>
        </w:rPr>
        <w:t>号）</w:t>
      </w:r>
      <w:r>
        <w:rPr>
          <w:rFonts w:hint="eastAsia" w:ascii="仿宋_GB2312" w:hAnsi="Calibri" w:eastAsia="仿宋_GB2312" w:cs="Times New Roman"/>
          <w:sz w:val="32"/>
          <w:szCs w:val="32"/>
        </w:rPr>
        <w:t>，深化海洋生态综合治理，抢占海洋碳汇制高点，加强海洋生态环境保护，</w:t>
      </w:r>
      <w:r>
        <w:rPr>
          <w:rFonts w:hint="eastAsia" w:ascii="仿宋_GB2312" w:eastAsia="仿宋_GB2312"/>
          <w:sz w:val="32"/>
          <w:szCs w:val="32"/>
        </w:rPr>
        <w:t>全方位推进我市</w:t>
      </w:r>
      <w:r>
        <w:rPr>
          <w:rFonts w:hint="eastAsia" w:ascii="仿宋_GB2312" w:hAnsi="Calibri" w:eastAsia="仿宋_GB2312" w:cs="Times New Roman"/>
          <w:sz w:val="32"/>
          <w:szCs w:val="32"/>
        </w:rPr>
        <w:t>海洋经济高质量发展，制定本工作方案。</w:t>
      </w:r>
    </w:p>
    <w:p>
      <w:pPr>
        <w:adjustRightInd w:val="0"/>
        <w:snapToGrid w:val="0"/>
        <w:spacing w:line="60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一、总体要求</w:t>
      </w:r>
    </w:p>
    <w:p>
      <w:pPr>
        <w:adjustRightInd w:val="0"/>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坚持以习近平新时代中国特色社会主义思想为指导，深入贯彻落实党的十九大和十九届二中、三中、四中、五中全会精神，认真落实习近平总书记来闽考察重要讲话精神，强化海洋生态保护，加快海洋碳汇科学研究发展，实施海岸带突出生态环境问题整治、海湾海岛和岸线生态保护修复、海漂垃圾综合治理，增强海洋环境风险防范能力，推进“美丽海湾”建设，基本建成碧海银滩、湾美岸绿、亲水乐游、宜居宜业的“美丽海岸带”。到2023年</w:t>
      </w:r>
      <w:r>
        <w:rPr>
          <w:rFonts w:hint="eastAsia" w:ascii="仿宋_GB2312" w:hAnsi="Calibri" w:eastAsia="仿宋_GB2312" w:cs="Times New Roman"/>
          <w:b/>
          <w:sz w:val="32"/>
          <w:szCs w:val="32"/>
        </w:rPr>
        <w:t>，</w:t>
      </w:r>
      <w:r>
        <w:rPr>
          <w:rFonts w:hint="eastAsia" w:ascii="仿宋_GB2312" w:hAnsi="Calibri" w:eastAsia="仿宋_GB2312" w:cs="Times New Roman"/>
          <w:sz w:val="32"/>
          <w:szCs w:val="32"/>
        </w:rPr>
        <w:t>全</w:t>
      </w:r>
      <w:r>
        <w:rPr>
          <w:rFonts w:hint="eastAsia" w:ascii="仿宋_GB2312" w:eastAsia="仿宋_GB2312"/>
          <w:sz w:val="32"/>
          <w:szCs w:val="32"/>
        </w:rPr>
        <w:t>市</w:t>
      </w:r>
      <w:r>
        <w:rPr>
          <w:rFonts w:hint="eastAsia" w:ascii="仿宋_GB2312" w:hAnsi="Calibri" w:eastAsia="仿宋_GB2312" w:cs="Times New Roman"/>
          <w:sz w:val="32"/>
          <w:szCs w:val="32"/>
        </w:rPr>
        <w:t>沿海地区进一步健全海漂垃圾治理长效机制，完善常态化、网格化、动态化的海漂垃圾综合治理模式，入海排污口基本实现分类精细化管理，重点河口海湾水质污染得到明显遏制，近岸海域优良水质（一、二类）面积比例不低于90%，海岸带生态功能和滨海景观明显提升。</w:t>
      </w:r>
    </w:p>
    <w:p>
      <w:pPr>
        <w:adjustRightInd w:val="0"/>
        <w:snapToGrid w:val="0"/>
        <w:spacing w:line="60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二、主要任务</w:t>
      </w:r>
    </w:p>
    <w:p>
      <w:pPr>
        <w:adjustRightInd w:val="0"/>
        <w:snapToGrid w:val="0"/>
        <w:spacing w:line="600" w:lineRule="exact"/>
        <w:ind w:firstLine="643" w:firstLineChars="200"/>
        <w:rPr>
          <w:rFonts w:ascii="仿宋_GB2312" w:eastAsia="仿宋_GB2312"/>
          <w:sz w:val="32"/>
          <w:szCs w:val="32"/>
        </w:rPr>
      </w:pPr>
      <w:r>
        <w:rPr>
          <w:rFonts w:hint="eastAsia" w:ascii="楷体_GB2312" w:hAnsi="Calibri" w:eastAsia="楷体_GB2312" w:cs="Times New Roman"/>
          <w:b/>
          <w:bCs/>
          <w:sz w:val="32"/>
          <w:szCs w:val="32"/>
        </w:rPr>
        <w:t>（一）提高海洋空间治理水平。</w:t>
      </w:r>
      <w:r>
        <w:rPr>
          <w:rFonts w:hint="eastAsia" w:ascii="仿宋_GB2312" w:hAnsi="Calibri" w:eastAsia="仿宋_GB2312" w:cs="Times New Roman"/>
          <w:sz w:val="32"/>
          <w:szCs w:val="32"/>
        </w:rPr>
        <w:t>实施陆海一体国土空间用途管制和生态环境分区管控要求，构建陆域、流域、海域相统筹的海洋空间治理体系。保护提升海洋休闲娱乐区、滨海风景名胜区、沙滩浴场、海洋公园等重点功能区海岸带生态功能和滨海景观，保障公众亲海空间，促进滨海旅游等绿色产业高质量发展。出台实施《</w:t>
      </w:r>
      <w:r>
        <w:rPr>
          <w:rFonts w:hint="eastAsia" w:ascii="仿宋_GB2312" w:eastAsia="仿宋_GB2312"/>
          <w:sz w:val="32"/>
          <w:szCs w:val="32"/>
        </w:rPr>
        <w:t>莆田市</w:t>
      </w:r>
      <w:r>
        <w:rPr>
          <w:rFonts w:hint="eastAsia" w:ascii="仿宋_GB2312" w:hAnsi="Calibri" w:eastAsia="仿宋_GB2312" w:cs="Times New Roman"/>
          <w:sz w:val="32"/>
          <w:szCs w:val="32"/>
        </w:rPr>
        <w:t>“十四五”海洋生态环境保护规划》，以“美丽海湾”保护与建设为统领，以海湾（湾区）为基础管理单元，健全环境治理与可持续开发利用相协调的政策体系，构建陆海统筹、河海联动、系统治理的海洋生态环境管治格局。</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sz w:val="32"/>
          <w:szCs w:val="32"/>
        </w:rPr>
        <w:t>责任单位：</w:t>
      </w:r>
      <w:r>
        <w:rPr>
          <w:rFonts w:hint="eastAsia" w:ascii="仿宋_GB2312" w:eastAsia="仿宋_GB2312"/>
          <w:sz w:val="32"/>
          <w:szCs w:val="32"/>
        </w:rPr>
        <w:t>市自然资源局、生态环境局、林业局、海洋与渔业局，文旅局、交通运输局、</w:t>
      </w:r>
      <w:r>
        <w:rPr>
          <w:rFonts w:hint="eastAsia" w:ascii="仿宋_GB2312" w:hAnsi="宋体" w:eastAsia="仿宋_GB2312"/>
          <w:color w:val="000000"/>
          <w:sz w:val="32"/>
          <w:szCs w:val="32"/>
        </w:rPr>
        <w:t>省湄洲湾港口发展中心，</w:t>
      </w:r>
      <w:r>
        <w:rPr>
          <w:rFonts w:hint="eastAsia" w:ascii="仿宋_GB2312" w:eastAsia="仿宋_GB2312"/>
          <w:sz w:val="32"/>
          <w:szCs w:val="32"/>
        </w:rPr>
        <w:t>莆田海事局，各县（区）人民政府（管委会）</w:t>
      </w:r>
    </w:p>
    <w:p>
      <w:pPr>
        <w:adjustRightInd w:val="0"/>
        <w:snapToGrid w:val="0"/>
        <w:spacing w:line="600" w:lineRule="exact"/>
        <w:ind w:firstLine="643" w:firstLineChars="200"/>
        <w:rPr>
          <w:rFonts w:ascii="楷体_GB2312" w:eastAsia="楷体_GB2312"/>
          <w:sz w:val="32"/>
          <w:szCs w:val="32"/>
        </w:rPr>
      </w:pPr>
      <w:r>
        <w:rPr>
          <w:rFonts w:hint="eastAsia" w:ascii="楷体_GB2312" w:hAnsi="Calibri" w:eastAsia="楷体_GB2312" w:cs="Times New Roman"/>
          <w:b/>
          <w:bCs/>
          <w:sz w:val="32"/>
          <w:szCs w:val="32"/>
        </w:rPr>
        <w:t>（二）实施海岸带美化提升工程</w:t>
      </w:r>
      <w:r>
        <w:rPr>
          <w:rFonts w:hint="eastAsia" w:ascii="仿宋_GB2312" w:hAnsi="Calibri" w:eastAsia="仿宋_GB2312" w:cs="Times New Roman"/>
          <w:sz w:val="32"/>
          <w:szCs w:val="32"/>
        </w:rPr>
        <w:t>。对海岸线向陆域侧一公里范围的滨海陆地和领海基线内的近岸海域，持续开展环境整治行动，在</w:t>
      </w:r>
      <w:r>
        <w:rPr>
          <w:rFonts w:hint="eastAsia" w:ascii="仿宋_GB2312" w:eastAsia="仿宋_GB2312"/>
          <w:sz w:val="32"/>
          <w:szCs w:val="32"/>
        </w:rPr>
        <w:t>兴化湾木兰溪河口、湄洲湾北岸妈祖城、湄洲岛</w:t>
      </w:r>
      <w:r>
        <w:rPr>
          <w:rFonts w:hint="eastAsia" w:ascii="仿宋_GB2312" w:hAnsi="Calibri" w:eastAsia="仿宋_GB2312" w:cs="Times New Roman"/>
          <w:sz w:val="32"/>
          <w:szCs w:val="32"/>
        </w:rPr>
        <w:t>等重点海湾河口开展“蓝色海湾”、海岸带生态整治修复，将</w:t>
      </w:r>
      <w:r>
        <w:rPr>
          <w:rFonts w:hint="eastAsia" w:ascii="仿宋_GB2312" w:eastAsia="仿宋_GB2312"/>
          <w:sz w:val="32"/>
          <w:szCs w:val="32"/>
        </w:rPr>
        <w:t>湄洲岛</w:t>
      </w:r>
      <w:r>
        <w:rPr>
          <w:rFonts w:hint="eastAsia" w:ascii="仿宋_GB2312" w:hAnsi="Calibri" w:eastAsia="仿宋_GB2312" w:cs="Times New Roman"/>
          <w:sz w:val="32"/>
          <w:szCs w:val="32"/>
        </w:rPr>
        <w:t>建设成为“美丽海湾”先行示范区。加强滨海沙滩保护和修复，将</w:t>
      </w:r>
      <w:r>
        <w:rPr>
          <w:rFonts w:eastAsia="仿宋_GB2312"/>
          <w:sz w:val="31"/>
          <w:szCs w:val="31"/>
        </w:rPr>
        <w:t>湄洲岛莲池、鹅尾，平海嵌头建设</w:t>
      </w:r>
      <w:r>
        <w:rPr>
          <w:rFonts w:hint="eastAsia" w:eastAsia="仿宋_GB2312"/>
          <w:sz w:val="31"/>
          <w:szCs w:val="31"/>
        </w:rPr>
        <w:t>成</w:t>
      </w:r>
      <w:r>
        <w:rPr>
          <w:rFonts w:eastAsia="仿宋_GB2312"/>
          <w:sz w:val="31"/>
          <w:szCs w:val="31"/>
        </w:rPr>
        <w:t>滨海沙滩景观带样板</w:t>
      </w:r>
      <w:r>
        <w:rPr>
          <w:rFonts w:hint="eastAsia" w:ascii="仿宋_GB2312" w:hAnsi="Calibri" w:eastAsia="仿宋_GB2312" w:cs="Times New Roman"/>
          <w:sz w:val="32"/>
          <w:szCs w:val="32"/>
        </w:rPr>
        <w:t>。</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责任单位：</w:t>
      </w:r>
      <w:r>
        <w:rPr>
          <w:rFonts w:hint="eastAsia" w:ascii="仿宋_GB2312" w:eastAsia="仿宋_GB2312"/>
          <w:sz w:val="32"/>
          <w:szCs w:val="32"/>
        </w:rPr>
        <w:t>市自然资源局、生态环境局、住建局、文旅局、交通运输局、</w:t>
      </w:r>
      <w:r>
        <w:rPr>
          <w:rFonts w:hint="eastAsia" w:ascii="仿宋_GB2312" w:hAnsi="宋体" w:eastAsia="仿宋_GB2312"/>
          <w:color w:val="000000"/>
          <w:sz w:val="32"/>
          <w:szCs w:val="32"/>
        </w:rPr>
        <w:t>省湄洲湾港口发展中心，</w:t>
      </w:r>
      <w:r>
        <w:rPr>
          <w:rFonts w:hint="eastAsia" w:ascii="仿宋_GB2312" w:eastAsia="仿宋_GB2312"/>
          <w:sz w:val="32"/>
          <w:szCs w:val="32"/>
        </w:rPr>
        <w:t>各县（区）人民政府（管委会）</w:t>
      </w:r>
    </w:p>
    <w:p>
      <w:pPr>
        <w:spacing w:line="600" w:lineRule="exact"/>
        <w:ind w:firstLine="643" w:firstLineChars="200"/>
        <w:rPr>
          <w:rFonts w:eastAsia="仿宋_GB2312"/>
          <w:sz w:val="31"/>
          <w:szCs w:val="31"/>
        </w:rPr>
      </w:pPr>
      <w:r>
        <w:rPr>
          <w:rFonts w:hint="eastAsia" w:ascii="楷体_GB2312" w:hAnsi="Calibri" w:eastAsia="楷体_GB2312" w:cs="Times New Roman"/>
          <w:b/>
          <w:bCs/>
          <w:sz w:val="32"/>
          <w:szCs w:val="32"/>
        </w:rPr>
        <w:t>（三）加强海洋生态保护修复。</w:t>
      </w:r>
      <w:r>
        <w:rPr>
          <w:rFonts w:eastAsia="仿宋_GB2312"/>
          <w:sz w:val="31"/>
          <w:szCs w:val="31"/>
        </w:rPr>
        <w:t>加强生态海堤和自然岸线保护，</w:t>
      </w:r>
      <w:r>
        <w:rPr>
          <w:rFonts w:hint="eastAsia" w:eastAsia="仿宋_GB2312"/>
          <w:sz w:val="31"/>
          <w:szCs w:val="31"/>
        </w:rPr>
        <w:t>强化海</w:t>
      </w:r>
      <w:r>
        <w:rPr>
          <w:rFonts w:eastAsia="仿宋_GB2312"/>
          <w:sz w:val="31"/>
          <w:szCs w:val="31"/>
        </w:rPr>
        <w:t>滨海沙滩保护和修复，全面治理海岸侵蚀，砂质海滩垃圾堆积、人为破坏等问题，在兴化湾等重要迁飞鸟类栖息地开展生境营造、微景观改造等保护修复工程</w:t>
      </w:r>
      <w:r>
        <w:rPr>
          <w:rFonts w:hint="eastAsia" w:eastAsia="仿宋_GB2312"/>
          <w:sz w:val="31"/>
          <w:szCs w:val="31"/>
        </w:rPr>
        <w:t>。</w:t>
      </w:r>
      <w:r>
        <w:rPr>
          <w:rFonts w:eastAsia="仿宋_GB2312"/>
          <w:sz w:val="31"/>
          <w:szCs w:val="31"/>
        </w:rPr>
        <w:t>开展红树林生态保护与修复，加强互花米草等外来物种入侵防治，至2023年，实施湿地保护修复</w:t>
      </w:r>
      <w:r>
        <w:rPr>
          <w:rFonts w:hint="eastAsia" w:eastAsia="仿宋_GB2312"/>
          <w:sz w:val="31"/>
          <w:szCs w:val="31"/>
        </w:rPr>
        <w:t>1</w:t>
      </w:r>
      <w:r>
        <w:rPr>
          <w:rFonts w:eastAsia="仿宋_GB2312"/>
          <w:sz w:val="31"/>
          <w:szCs w:val="31"/>
        </w:rPr>
        <w:t>处，修复红树林300亩。</w:t>
      </w:r>
    </w:p>
    <w:p>
      <w:pPr>
        <w:adjustRightInd w:val="0"/>
        <w:snapToGrid w:val="0"/>
        <w:spacing w:line="600" w:lineRule="exact"/>
        <w:ind w:firstLine="643" w:firstLineChars="200"/>
        <w:rPr>
          <w:rFonts w:eastAsia="仿宋_GB2312"/>
          <w:sz w:val="31"/>
          <w:szCs w:val="31"/>
        </w:rPr>
      </w:pPr>
      <w:r>
        <w:rPr>
          <w:rFonts w:hint="eastAsia" w:ascii="楷体_GB2312" w:hAnsi="楷体" w:eastAsia="楷体_GB2312"/>
          <w:b/>
          <w:sz w:val="32"/>
          <w:szCs w:val="32"/>
        </w:rPr>
        <w:t>责任单位：</w:t>
      </w:r>
      <w:r>
        <w:rPr>
          <w:rFonts w:hint="eastAsia" w:eastAsia="仿宋_GB2312"/>
          <w:sz w:val="31"/>
          <w:szCs w:val="31"/>
        </w:rPr>
        <w:t>市自然资源局、林业局、生态环境局、财政局，各县（区）人民政府（管委会）</w:t>
      </w:r>
    </w:p>
    <w:p>
      <w:pPr>
        <w:adjustRightInd w:val="0"/>
        <w:snapToGrid w:val="0"/>
        <w:spacing w:line="600" w:lineRule="exact"/>
        <w:ind w:firstLine="643" w:firstLineChars="200"/>
        <w:rPr>
          <w:rFonts w:ascii="仿宋_GB2312" w:hAnsi="Calibri" w:eastAsia="仿宋_GB2312" w:cs="Times New Roman"/>
          <w:b/>
          <w:sz w:val="32"/>
          <w:szCs w:val="32"/>
        </w:rPr>
      </w:pPr>
      <w:r>
        <w:rPr>
          <w:rFonts w:hint="eastAsia" w:ascii="楷体_GB2312" w:hAnsi="Calibri" w:eastAsia="楷体_GB2312" w:cs="Times New Roman"/>
          <w:b/>
          <w:bCs/>
          <w:sz w:val="32"/>
          <w:szCs w:val="32"/>
        </w:rPr>
        <w:t>（四）联防联控陆海主要污染。</w:t>
      </w:r>
      <w:r>
        <w:rPr>
          <w:rFonts w:hint="eastAsia" w:ascii="仿宋_GB2312" w:hAnsi="Calibri" w:eastAsia="仿宋_GB2312" w:cs="Times New Roman"/>
          <w:sz w:val="32"/>
          <w:szCs w:val="32"/>
        </w:rPr>
        <w:t>构建流域-河口-近岸海域污染防治联动机制，协同推进入海河流和排污口精准治理，加强船舶港口、海水养殖等污染治理。建立入海排污口“一口一档”动态管理台账，系统推进分类整治，清理设置不合理的入海排污口，取缔非法入海排污口。持续开展入海河流消劣巩固行动，整治不能稳定消除劣V类的入海河流，对未达到水质目标要求的入海河流，开展精准综合整治。加快补齐仙游枫亭、荔城北高、城厢东海、涵江江口、北岸山亭等沿海乡镇污水收集处理和尾水排放基础设施短板。完善船舶水污染物处置联合监管制度，实施船舶水污染物分类管理。严格落实《海上养殖转型升级行动方案》，加强养殖环境污染治理和监管。</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责任单位：</w:t>
      </w:r>
      <w:r>
        <w:rPr>
          <w:rFonts w:hint="eastAsia" w:ascii="仿宋_GB2312" w:hAnsi="Calibri" w:eastAsia="仿宋_GB2312" w:cs="Times New Roman"/>
          <w:sz w:val="32"/>
          <w:szCs w:val="32"/>
        </w:rPr>
        <w:t>市生态环境局、交通运输局、海洋渔业局、工信局、住建局、水利局、河长办、商务局、科技局，</w:t>
      </w:r>
      <w:r>
        <w:rPr>
          <w:rFonts w:hint="eastAsia" w:ascii="仿宋_GB2312" w:hAnsi="宋体" w:eastAsia="仿宋_GB2312"/>
          <w:color w:val="000000"/>
          <w:sz w:val="32"/>
          <w:szCs w:val="32"/>
        </w:rPr>
        <w:t>省湄洲湾港口发展中心，</w:t>
      </w:r>
      <w:r>
        <w:rPr>
          <w:rFonts w:hint="eastAsia" w:ascii="仿宋_GB2312" w:hAnsi="Calibri" w:eastAsia="仿宋_GB2312" w:cs="Times New Roman"/>
          <w:sz w:val="32"/>
          <w:szCs w:val="32"/>
        </w:rPr>
        <w:t>莆田海事局，</w:t>
      </w:r>
      <w:r>
        <w:rPr>
          <w:rFonts w:hint="eastAsia" w:ascii="仿宋_GB2312" w:eastAsia="仿宋_GB2312"/>
          <w:sz w:val="32"/>
          <w:szCs w:val="32"/>
        </w:rPr>
        <w:t>各县（区）人民政府（管委会）</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（五）推进海漂垃圾综合治理。</w:t>
      </w:r>
      <w:r>
        <w:rPr>
          <w:rFonts w:hint="eastAsia" w:ascii="仿宋_GB2312" w:hAnsi="Calibri" w:eastAsia="仿宋_GB2312" w:cs="Times New Roman"/>
          <w:sz w:val="32"/>
          <w:szCs w:val="32"/>
        </w:rPr>
        <w:t>深入实施《进一步加强海漂垃圾综合治理行动方案》，加强专业化海上环卫队伍建设，集中攻坚清理近岸海域和海岸带既有垃圾，进一步健全“岸上管、流域拦、海面清”的海漂垃圾综合治理机制。开展对入海口、养殖集中区、滨海旅游度假区等重点岸段的定期随机抽查，夯实海漂垃圾源头管控。2022年基本建成重点岸段海漂垃圾视频监控，推动海漂垃圾智慧治理。</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责任单位：</w:t>
      </w:r>
      <w:r>
        <w:rPr>
          <w:rFonts w:hint="eastAsia" w:ascii="仿宋_GB2312" w:hAnsi="Calibri" w:eastAsia="仿宋_GB2312" w:cs="Times New Roman"/>
          <w:sz w:val="32"/>
          <w:szCs w:val="32"/>
        </w:rPr>
        <w:t>市生态环境局、城市管理局、海洋渔业局、水利局、农业农村局、文旅局，</w:t>
      </w:r>
      <w:r>
        <w:rPr>
          <w:rFonts w:hint="eastAsia" w:ascii="仿宋_GB2312" w:eastAsia="仿宋_GB2312"/>
          <w:sz w:val="32"/>
          <w:szCs w:val="32"/>
        </w:rPr>
        <w:t>各县（区）人民政府（管委会）</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（六）提高海洋风险防范能力。</w:t>
      </w:r>
      <w:r>
        <w:rPr>
          <w:rFonts w:hint="eastAsia" w:ascii="仿宋_GB2312" w:hAnsi="Calibri" w:eastAsia="仿宋_GB2312" w:cs="Times New Roman"/>
          <w:sz w:val="32"/>
          <w:szCs w:val="32"/>
        </w:rPr>
        <w:t>健全突发环境事件风险动态评估和常态化防控机制，加强对海洋船舶污染、码头污染、养殖污染、海洋倾废和赤潮灾害的监测防治，建立赤潮高发区、油气储运、危化品港口码头与仓储区、海洋生态敏感区等重点区域涉海风险源清单和管理台账。建立健全多方联动的海洋环境突发事件应急响应协调机制，加强海上溢油、危险化学品泄漏等风险管控。建设生态海堤，提升抵御台风、海雾、风暴潮等气象、海洋灾害能力，筑牢海上安全防线。对盗采海砂、非法倾废、偷排污水、非法捕捞等违法违规行为始终保持高压态势，逐步完善疏堵结合的监管措施。</w:t>
      </w:r>
    </w:p>
    <w:p>
      <w:pPr>
        <w:adjustRightInd w:val="0"/>
        <w:snapToGrid w:val="0"/>
        <w:spacing w:line="600" w:lineRule="exact"/>
        <w:ind w:firstLine="803" w:firstLineChars="250"/>
        <w:rPr>
          <w:rFonts w:ascii="仿宋_GB2312" w:hAnsi="Calibri" w:eastAsia="仿宋_GB2312" w:cs="Times New Roman"/>
          <w:sz w:val="32"/>
          <w:szCs w:val="32"/>
        </w:rPr>
      </w:pPr>
      <w:r>
        <w:rPr>
          <w:rFonts w:hint="eastAsia" w:ascii="楷体_GB2312" w:hAnsi="Calibri" w:eastAsia="楷体_GB2312" w:cs="Times New Roman"/>
          <w:b/>
          <w:bCs/>
          <w:sz w:val="32"/>
          <w:szCs w:val="32"/>
        </w:rPr>
        <w:t>责任单位：</w:t>
      </w:r>
      <w:r>
        <w:rPr>
          <w:rFonts w:hint="eastAsia" w:ascii="仿宋_GB2312" w:hAnsi="Calibri" w:eastAsia="仿宋_GB2312" w:cs="Times New Roman"/>
          <w:sz w:val="32"/>
          <w:szCs w:val="32"/>
        </w:rPr>
        <w:t>市生态环境局、应急管理局、水利局、海洋渔业局、自然资源局、气象局，莆田海事局，莆田海警局，</w:t>
      </w:r>
      <w:r>
        <w:rPr>
          <w:rFonts w:hint="eastAsia" w:ascii="仿宋_GB2312" w:eastAsia="仿宋_GB2312"/>
          <w:sz w:val="32"/>
          <w:szCs w:val="32"/>
        </w:rPr>
        <w:t>各县（区）人民政府（管委会）</w:t>
      </w:r>
    </w:p>
    <w:p>
      <w:pPr>
        <w:spacing w:line="600" w:lineRule="exact"/>
        <w:ind w:firstLine="643" w:firstLineChars="200"/>
        <w:rPr>
          <w:rFonts w:eastAsia="仿宋_GB2312"/>
          <w:sz w:val="31"/>
          <w:szCs w:val="31"/>
        </w:rPr>
      </w:pPr>
      <w:r>
        <w:rPr>
          <w:rFonts w:hint="eastAsia" w:ascii="楷体_GB2312" w:hAnsi="Calibri" w:eastAsia="楷体_GB2312" w:cs="Times New Roman"/>
          <w:b/>
          <w:bCs/>
          <w:sz w:val="32"/>
          <w:szCs w:val="32"/>
        </w:rPr>
        <w:t>（七）抢占海洋碳汇制高点。</w:t>
      </w:r>
      <w:r>
        <w:rPr>
          <w:rFonts w:eastAsia="仿宋_GB2312"/>
          <w:sz w:val="31"/>
          <w:szCs w:val="31"/>
        </w:rPr>
        <w:t>推进湄洲岛海岛生态特别保护区建设，突出湄洲岛国家海洋公园保护管理，力争打造全国首个“零碳岛”。开展海水养殖增汇、滨海湿地和红树林增汇、海洋微生物增汇等试点工程，提高海洋固碳增汇能力，重点发挥我市贝藻类海水养殖优势，通过贝藻类立体混合养殖、海洋捕捞，加大滤食性鱼苗和贝类苗种放流，建设人工鱼礁等方式，提升渔业碳汇贡献率。</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责任单位：</w:t>
      </w:r>
      <w:r>
        <w:rPr>
          <w:rFonts w:hint="eastAsia" w:ascii="仿宋_GB2312" w:hAnsi="Calibri" w:eastAsia="仿宋_GB2312" w:cs="Times New Roman"/>
          <w:sz w:val="32"/>
          <w:szCs w:val="32"/>
        </w:rPr>
        <w:t>市发改委、科技局、自然资源局、海洋渔业局、林业局、气象局、生态环境局，</w:t>
      </w:r>
      <w:r>
        <w:rPr>
          <w:rFonts w:hint="eastAsia" w:ascii="仿宋_GB2312" w:eastAsia="仿宋_GB2312"/>
          <w:sz w:val="32"/>
          <w:szCs w:val="32"/>
        </w:rPr>
        <w:t>各县（区）人民政府（管委会）</w:t>
      </w:r>
    </w:p>
    <w:p>
      <w:pPr>
        <w:adjustRightInd w:val="0"/>
        <w:snapToGrid w:val="0"/>
        <w:spacing w:line="60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三、实施保障</w:t>
      </w:r>
    </w:p>
    <w:p>
      <w:pPr>
        <w:adjustRightInd w:val="0"/>
        <w:snapToGrid w:val="0"/>
        <w:spacing w:line="600" w:lineRule="exact"/>
        <w:ind w:firstLine="643" w:firstLineChars="200"/>
        <w:rPr>
          <w:rFonts w:ascii="仿宋_GB2312" w:eastAsia="仿宋_GB2312"/>
          <w:sz w:val="32"/>
          <w:szCs w:val="32"/>
        </w:rPr>
      </w:pPr>
      <w:r>
        <w:rPr>
          <w:rFonts w:hint="eastAsia" w:ascii="楷体_GB2312" w:hAnsi="Calibri" w:eastAsia="楷体_GB2312" w:cs="Times New Roman"/>
          <w:b/>
          <w:bCs/>
          <w:sz w:val="32"/>
          <w:szCs w:val="32"/>
        </w:rPr>
        <w:t>（一）强化统筹协调。</w:t>
      </w:r>
      <w:r>
        <w:rPr>
          <w:rFonts w:hint="eastAsia" w:ascii="仿宋_GB2312" w:hAnsi="Calibri" w:eastAsia="仿宋_GB2312" w:cs="Times New Roman"/>
          <w:sz w:val="32"/>
          <w:szCs w:val="32"/>
        </w:rPr>
        <w:t>为切实加强</w:t>
      </w:r>
      <w:r>
        <w:rPr>
          <w:rFonts w:hint="eastAsia" w:ascii="仿宋_GB2312" w:eastAsia="仿宋_GB2312"/>
          <w:sz w:val="32"/>
          <w:szCs w:val="32"/>
        </w:rPr>
        <w:t>海洋生态综合治理工作，由</w:t>
      </w:r>
      <w:r>
        <w:rPr>
          <w:rFonts w:hint="eastAsia" w:ascii="仿宋_GB2312" w:hAnsi="Calibri" w:eastAsia="仿宋_GB2312" w:cs="Times New Roman"/>
          <w:sz w:val="32"/>
          <w:szCs w:val="32"/>
        </w:rPr>
        <w:t>市生态环境局牵头会同市直有关部门成立“</w:t>
      </w:r>
      <w:r>
        <w:rPr>
          <w:rFonts w:hint="eastAsia" w:ascii="仿宋_GB2312" w:eastAsia="仿宋_GB2312"/>
          <w:sz w:val="32"/>
          <w:szCs w:val="32"/>
        </w:rPr>
        <w:t>海洋生态综合治理专项行动</w:t>
      </w:r>
      <w:r>
        <w:rPr>
          <w:rFonts w:hint="eastAsia" w:ascii="仿宋_GB2312" w:hAnsi="Calibri" w:eastAsia="仿宋_GB2312" w:cs="Times New Roman"/>
          <w:sz w:val="32"/>
          <w:szCs w:val="32"/>
        </w:rPr>
        <w:t>”专班，并建立海洋生态环境保护工作协调机制，统筹协调推进海洋生态环境保护工作，加强行业指导、跟踪督办，推动工作落实。</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（二）强化责任落实。</w:t>
      </w:r>
      <w:r>
        <w:rPr>
          <w:rFonts w:hint="eastAsia" w:ascii="仿宋_GB2312" w:hAnsi="Calibri" w:eastAsia="仿宋_GB2312" w:cs="Times New Roman"/>
          <w:sz w:val="32"/>
          <w:szCs w:val="32"/>
        </w:rPr>
        <w:t>强化党政同责，逐级压实属地海洋生态环境保护责任。坚持问题导向，以解决影响生态安全的沿海突出生态环境问题为重点，建立陆海统筹、河海兼顾、上下联动、协同共治的海洋生态环境保护模式。</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（三）强化资金支持。</w:t>
      </w:r>
      <w:r>
        <w:rPr>
          <w:rFonts w:hint="eastAsia" w:ascii="仿宋_GB2312" w:hAnsi="Calibri" w:eastAsia="仿宋_GB2312" w:cs="Times New Roman"/>
          <w:sz w:val="32"/>
          <w:szCs w:val="32"/>
        </w:rPr>
        <w:t>各县（区、管委会）要积极统筹上级转移支付和自有财力，加大财政投入，用好地方政府债券和政府投资基金，积极争取海洋生态保护修复等中央资金支持，强化海洋生态保护经费保障。鼓励金融机构给予符合市场化融资条件的海洋生态环境保护重大工程项目中长期优惠信贷支持，通过规范政府和社会资本合作、政府购买服务、环境污染第三方治理等方式，吸引社会资本参与海洋生态环境保护。</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（四）强化激励约束。</w:t>
      </w:r>
      <w:r>
        <w:rPr>
          <w:rFonts w:hint="eastAsia" w:ascii="仿宋_GB2312" w:hAnsi="Calibri" w:eastAsia="仿宋_GB2312" w:cs="Times New Roman"/>
          <w:sz w:val="32"/>
          <w:szCs w:val="32"/>
        </w:rPr>
        <w:t>把加快建设“海上莆田”保护海洋生态环境工作纳入党政领导生态环境保护目标责任制考核，全面推动各项任务落实到位。对工作成效明显、经验做法典型的地区给予表扬推广、资金政策倾斜等正向激励。对工作滞后的地区，视情予以约谈、通报、挂牌督办。</w:t>
      </w:r>
    </w:p>
    <w:p>
      <w:pPr>
        <w:adjustRightInd w:val="0"/>
        <w:snapToGrid w:val="0"/>
        <w:spacing w:line="600" w:lineRule="exact"/>
        <w:ind w:firstLine="643" w:firstLineChars="200"/>
        <w:rPr>
          <w:rFonts w:ascii="仿宋_GB2312" w:hAnsi="Calibri" w:eastAsia="仿宋_GB2312" w:cs="Times New Roman"/>
          <w:sz w:val="32"/>
          <w:szCs w:val="32"/>
        </w:rPr>
      </w:pPr>
      <w:r>
        <w:rPr>
          <w:rFonts w:hint="eastAsia" w:ascii="楷体_GB2312" w:hAnsi="Calibri" w:eastAsia="楷体_GB2312" w:cs="Times New Roman"/>
          <w:b/>
          <w:bCs/>
          <w:sz w:val="32"/>
          <w:szCs w:val="32"/>
        </w:rPr>
        <w:t>（五）强化公众参与。</w:t>
      </w:r>
      <w:r>
        <w:rPr>
          <w:rFonts w:hint="eastAsia" w:ascii="仿宋_GB2312" w:hAnsi="Calibri" w:eastAsia="仿宋_GB2312" w:cs="Times New Roman"/>
          <w:sz w:val="32"/>
          <w:szCs w:val="32"/>
        </w:rPr>
        <w:t>加强海洋生态环境保护宣传教育，完善海洋生态环境信息公开制度，督促使用海洋资源的单位履行污染防治责任；畅通公众监督渠道，鼓励引导公众参与海洋保护志愿者行动，推动海洋生态环境保护社会共治。</w:t>
      </w:r>
    </w:p>
    <w:p>
      <w:pPr>
        <w:adjustRightInd w:val="0"/>
        <w:snapToGrid w:val="0"/>
        <w:spacing w:line="600" w:lineRule="exact"/>
        <w:ind w:firstLine="640" w:firstLineChars="200"/>
        <w:rPr>
          <w:rFonts w:ascii="仿宋_GB2312" w:hAnsi="Calibri" w:eastAsia="仿宋_GB2312" w:cs="Times New Roman"/>
          <w:sz w:val="32"/>
          <w:szCs w:val="32"/>
        </w:rPr>
      </w:pPr>
    </w:p>
    <w:p>
      <w:pPr>
        <w:adjustRightInd w:val="0"/>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附件：1.重点项目清单</w:t>
      </w:r>
    </w:p>
    <w:p>
      <w:pPr>
        <w:adjustRightInd w:val="0"/>
        <w:snapToGrid w:val="0"/>
        <w:spacing w:line="600" w:lineRule="exact"/>
        <w:ind w:firstLine="1600" w:firstLineChars="500"/>
        <w:rPr>
          <w:rFonts w:ascii="仿宋_GB2312" w:hAnsi="Calibri" w:eastAsia="仿宋_GB2312" w:cs="Times New Roman"/>
          <w:sz w:val="32"/>
          <w:szCs w:val="32"/>
        </w:rPr>
      </w:pPr>
      <w:r>
        <w:rPr>
          <w:rFonts w:hint="eastAsia" w:ascii="仿宋_GB2312" w:hAnsi="Calibri" w:eastAsia="仿宋_GB2312" w:cs="Times New Roman"/>
          <w:sz w:val="32"/>
          <w:szCs w:val="32"/>
        </w:rPr>
        <w:t>2.政策举措清单</w:t>
      </w:r>
    </w:p>
    <w:p>
      <w:pPr>
        <w:adjustRightInd w:val="0"/>
        <w:snapToGrid w:val="0"/>
        <w:spacing w:line="600" w:lineRule="exact"/>
        <w:ind w:firstLine="1600" w:firstLineChars="500"/>
        <w:rPr>
          <w:rFonts w:ascii="Calibri" w:hAnsi="Calibri" w:eastAsia="宋体" w:cs="Times New Roman"/>
          <w:sz w:val="32"/>
          <w:szCs w:val="32"/>
        </w:rPr>
      </w:pPr>
      <w:r>
        <w:rPr>
          <w:rFonts w:hint="eastAsia" w:ascii="仿宋_GB2312" w:hAnsi="Calibri" w:eastAsia="仿宋_GB2312" w:cs="Times New Roman"/>
          <w:sz w:val="32"/>
          <w:szCs w:val="32"/>
        </w:rPr>
        <w:t>3.工作责任分工清单</w:t>
      </w:r>
    </w:p>
    <w:p>
      <w:pPr>
        <w:spacing w:line="560" w:lineRule="exact"/>
        <w:ind w:firstLine="640" w:firstLineChars="200"/>
        <w:rPr>
          <w:rFonts w:ascii="仿宋_GB2312" w:hAnsi="仿宋" w:eastAsia="仿宋_GB2312" w:cs="仿宋"/>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sectPr>
          <w:footerReference r:id="rId4" w:type="default"/>
          <w:headerReference r:id="rId3" w:type="even"/>
          <w:footerReference r:id="rId5" w:type="even"/>
          <w:pgSz w:w="11906" w:h="16838"/>
          <w:pgMar w:top="1418" w:right="1588" w:bottom="1418" w:left="1588" w:header="851" w:footer="851" w:gutter="0"/>
          <w:pgNumType w:fmt="numberInDash"/>
          <w:cols w:space="425" w:num="1"/>
          <w:docGrid w:type="lines" w:linePitch="312" w:charSpace="0"/>
        </w:sectPr>
      </w:pPr>
    </w:p>
    <w:p>
      <w:pPr>
        <w:adjustRightInd w:val="0"/>
        <w:snapToGrid w:val="0"/>
        <w:spacing w:line="360" w:lineRule="auto"/>
        <w:rPr>
          <w:rFonts w:ascii="黑体" w:eastAsia="黑体" w:cs="Arial"/>
          <w:sz w:val="32"/>
          <w:szCs w:val="32"/>
        </w:rPr>
      </w:pPr>
      <w:r>
        <w:rPr>
          <w:rFonts w:hint="eastAsia" w:ascii="黑体" w:eastAsia="黑体" w:cs="Arial"/>
          <w:sz w:val="32"/>
          <w:szCs w:val="32"/>
        </w:rPr>
        <w:t>附件1</w:t>
      </w:r>
    </w:p>
    <w:p>
      <w:pPr>
        <w:adjustRightInd w:val="0"/>
        <w:snapToGrid w:val="0"/>
        <w:jc w:val="center"/>
        <w:rPr>
          <w:rFonts w:ascii="华文中宋" w:eastAsia="华文中宋" w:cs="Times New Roman"/>
          <w:b/>
          <w:bCs/>
          <w:sz w:val="44"/>
          <w:szCs w:val="44"/>
        </w:rPr>
      </w:pPr>
      <w:r>
        <w:rPr>
          <w:rFonts w:hint="eastAsia" w:ascii="华文中宋" w:eastAsia="华文中宋" w:cs="Arial"/>
          <w:b/>
          <w:bCs/>
          <w:sz w:val="44"/>
          <w:szCs w:val="44"/>
        </w:rPr>
        <w:t>重点项目清单</w:t>
      </w:r>
    </w:p>
    <w:tbl>
      <w:tblPr>
        <w:tblStyle w:val="8"/>
        <w:tblW w:w="5212"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25"/>
        <w:gridCol w:w="2290"/>
        <w:gridCol w:w="1289"/>
        <w:gridCol w:w="2098"/>
        <w:gridCol w:w="5950"/>
        <w:gridCol w:w="15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5" w:hRule="atLeast"/>
          <w:tblHeader/>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黑体" w:eastAsia="黑体" w:cs="Arial"/>
                <w:kern w:val="0"/>
                <w:sz w:val="24"/>
              </w:rPr>
            </w:pPr>
            <w:r>
              <w:rPr>
                <w:rFonts w:hint="eastAsia" w:ascii="黑体" w:eastAsia="黑体" w:cs="Arial"/>
                <w:kern w:val="0"/>
                <w:sz w:val="24"/>
              </w:rPr>
              <w:t>序号</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kern w:val="0"/>
                <w:sz w:val="24"/>
              </w:rPr>
            </w:pPr>
            <w:r>
              <w:rPr>
                <w:rFonts w:hint="eastAsia" w:ascii="黑体" w:eastAsia="黑体" w:cs="Arial"/>
                <w:kern w:val="0"/>
                <w:sz w:val="24"/>
              </w:rPr>
              <w:t>责任单位</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kern w:val="0"/>
                <w:sz w:val="24"/>
              </w:rPr>
            </w:pPr>
            <w:r>
              <w:rPr>
                <w:rFonts w:hint="eastAsia" w:ascii="黑体" w:eastAsia="黑体" w:cs="Arial"/>
                <w:kern w:val="0"/>
                <w:sz w:val="24"/>
              </w:rPr>
              <w:t>地区名称</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kern w:val="0"/>
                <w:sz w:val="24"/>
              </w:rPr>
            </w:pPr>
            <w:r>
              <w:rPr>
                <w:rFonts w:hint="eastAsia" w:ascii="黑体" w:eastAsia="黑体" w:cs="Arial"/>
                <w:kern w:val="0"/>
                <w:sz w:val="24"/>
              </w:rPr>
              <w:t>项目名称</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kern w:val="0"/>
                <w:sz w:val="24"/>
              </w:rPr>
            </w:pPr>
            <w:r>
              <w:rPr>
                <w:rFonts w:hint="eastAsia" w:ascii="黑体" w:eastAsia="黑体" w:cs="Arial"/>
                <w:kern w:val="0"/>
                <w:sz w:val="24"/>
              </w:rPr>
              <w:t>建设内容</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kern w:val="0"/>
                <w:sz w:val="24"/>
              </w:rPr>
            </w:pPr>
            <w:r>
              <w:rPr>
                <w:rFonts w:hint="eastAsia" w:ascii="黑体" w:eastAsia="黑体" w:cs="Arial"/>
                <w:kern w:val="0"/>
                <w:sz w:val="24"/>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311"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1</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湄洲岛管委会</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湄洲湾</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仿宋_GB2312" w:eastAsia="仿宋_GB2312" w:cs="Arial"/>
                <w:sz w:val="24"/>
              </w:rPr>
            </w:pPr>
            <w:r>
              <w:rPr>
                <w:rFonts w:hint="eastAsia" w:ascii="仿宋_GB2312" w:eastAsia="仿宋_GB2312" w:cs="Arial"/>
                <w:kern w:val="0"/>
                <w:sz w:val="24"/>
              </w:rPr>
              <w:t>莆田市湄洲岛海洋生态保护修复项目（一期）</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项目总投资约3.92亿元，清除互花米草1.03公顷、修复维护红树林5.19公顷、生态化改造海堤2.3公里、保护修复砂质海岸3.5公里、生态管护通道4.8公里、滨海生态缓冲带35.93公顷。</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2022年12月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15"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2</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各县（区）人民政府（管委会）</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市林业局</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兴化湾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湄洲湾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平海湾</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仿宋_GB2312" w:eastAsia="仿宋_GB2312" w:cs="Arial"/>
                <w:kern w:val="0"/>
                <w:sz w:val="24"/>
              </w:rPr>
            </w:pPr>
            <w:r>
              <w:rPr>
                <w:rFonts w:hint="eastAsia" w:ascii="仿宋_GB2312" w:eastAsia="仿宋_GB2312" w:cs="Arial"/>
                <w:kern w:val="0"/>
                <w:sz w:val="24"/>
              </w:rPr>
              <w:t>红树林生态保护与修复项目</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实施红树林生态保护与修复，修复红树林300亩。</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2022年12月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15"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3</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各县（区）人民政府（管委会）</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市海洋与渔业局</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兴化湾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湄洲湾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平海湾</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仿宋_GB2312" w:eastAsia="仿宋_GB2312" w:cs="Arial"/>
                <w:sz w:val="24"/>
              </w:rPr>
            </w:pPr>
            <w:r>
              <w:rPr>
                <w:rFonts w:hint="eastAsia" w:ascii="仿宋_GB2312" w:eastAsia="仿宋_GB2312" w:cs="Arial"/>
                <w:kern w:val="0"/>
                <w:sz w:val="24"/>
              </w:rPr>
              <w:t>海上养殖转型升级改造工程</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项目投资约7亿元，全市更新改造老旧渔排3.8万口，筏式吊样浮球海域5.7万亩，建设深水大网箱100口。</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2022年12月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82"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4</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各县（区）人民政府（管委会）</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市海洋与渔业局</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兴化湾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湄洲湾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平海湾</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仿宋_GB2312" w:eastAsia="仿宋_GB2312" w:cs="Arial"/>
                <w:kern w:val="0"/>
                <w:sz w:val="24"/>
              </w:rPr>
            </w:pPr>
            <w:r>
              <w:rPr>
                <w:rFonts w:hint="eastAsia" w:ascii="仿宋_GB2312" w:eastAsia="仿宋_GB2312" w:cs="Arial"/>
                <w:kern w:val="0"/>
                <w:sz w:val="24"/>
              </w:rPr>
              <w:t>海上水生生物增殖放流项目</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加强海洋生物多样性保护，完成增殖放流水生生物苗种2亿单位以上。</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2022年12月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82"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5</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各县（区）人民政府（管委会）</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市生态环境局</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兴化湾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湄洲湾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平海湾</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仿宋_GB2312" w:eastAsia="仿宋_GB2312" w:cs="Arial"/>
                <w:sz w:val="24"/>
              </w:rPr>
            </w:pPr>
            <w:r>
              <w:rPr>
                <w:rFonts w:hint="eastAsia" w:ascii="仿宋_GB2312" w:eastAsia="仿宋_GB2312" w:cs="Arial"/>
                <w:kern w:val="0"/>
                <w:sz w:val="24"/>
              </w:rPr>
              <w:t>“海上环卫”机构队伍建设</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加强专业化海上环卫队伍建设，集中攻坚清理近岸海域和海岸带既有垃圾，进一步健全“岸上管、流域拦、海面清”的海漂垃圾综合治理机制。进一步健全海漂垃圾综合治理长效机制，环卫队伍、湾（滩）专管员建设。分年度下拨省、市海漂垃圾综合治理奖补资金。</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2023年12月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2"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6</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市生态环境局</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兴化湾</w:t>
            </w:r>
          </w:p>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湄洲湾</w:t>
            </w:r>
          </w:p>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平海湾</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仿宋_GB2312" w:eastAsia="仿宋_GB2312" w:cs="Arial"/>
                <w:sz w:val="24"/>
              </w:rPr>
            </w:pPr>
            <w:r>
              <w:rPr>
                <w:rFonts w:hint="eastAsia" w:ascii="仿宋_GB2312" w:eastAsia="仿宋_GB2312" w:cs="Arial"/>
                <w:kern w:val="0"/>
                <w:sz w:val="24"/>
              </w:rPr>
              <w:t>海漂垃圾智慧监控</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在各县（区、管委会）海岸线交界、主要入海河流河口及重点港口码头建设14个海漂垃圾智慧监控高清探头。</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2022年12月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7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7</w:t>
            </w:r>
          </w:p>
        </w:tc>
        <w:tc>
          <w:tcPr>
            <w:tcW w:w="2290"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市生态环境局</w:t>
            </w:r>
          </w:p>
        </w:tc>
        <w:tc>
          <w:tcPr>
            <w:tcW w:w="128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兴化湾</w:t>
            </w:r>
          </w:p>
        </w:tc>
        <w:tc>
          <w:tcPr>
            <w:tcW w:w="2098" w:type="dxa"/>
            <w:tcBorders>
              <w:top w:val="single" w:color="auto" w:sz="4" w:space="0"/>
              <w:left w:val="nil"/>
              <w:bottom w:val="single" w:color="auto" w:sz="4" w:space="0"/>
              <w:right w:val="single" w:color="auto" w:sz="4" w:space="0"/>
            </w:tcBorders>
            <w:vAlign w:val="center"/>
          </w:tcPr>
          <w:p>
            <w:pPr>
              <w:widowControl/>
              <w:adjustRightInd w:val="0"/>
              <w:snapToGrid w:val="0"/>
              <w:jc w:val="left"/>
              <w:textAlignment w:val="center"/>
              <w:rPr>
                <w:rFonts w:ascii="仿宋_GB2312" w:eastAsia="仿宋_GB2312" w:cs="Arial"/>
                <w:kern w:val="0"/>
                <w:sz w:val="24"/>
              </w:rPr>
            </w:pPr>
            <w:r>
              <w:rPr>
                <w:rFonts w:hint="eastAsia" w:ascii="仿宋_GB2312" w:eastAsia="仿宋_GB2312" w:cs="Arial"/>
                <w:kern w:val="0"/>
                <w:sz w:val="24"/>
              </w:rPr>
              <w:t>海洋浮标自动站建设</w:t>
            </w:r>
          </w:p>
        </w:tc>
        <w:tc>
          <w:tcPr>
            <w:tcW w:w="5950"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在兴化湾三江口省控站位建设海水水质监测浮标1座</w:t>
            </w:r>
          </w:p>
        </w:tc>
        <w:tc>
          <w:tcPr>
            <w:tcW w:w="157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2022年12月</w:t>
            </w:r>
          </w:p>
        </w:tc>
      </w:tr>
    </w:tbl>
    <w:p>
      <w:pPr>
        <w:sectPr>
          <w:footerReference r:id="rId6" w:type="default"/>
          <w:footerReference r:id="rId7" w:type="even"/>
          <w:pgSz w:w="16840" w:h="11907" w:orient="landscape"/>
          <w:pgMar w:top="1440" w:right="1800" w:bottom="1440" w:left="1800" w:header="851" w:footer="1418" w:gutter="0"/>
          <w:pgNumType w:fmt="numberInDash"/>
          <w:cols w:space="720" w:num="1"/>
          <w:formProt w:val="0"/>
          <w:docGrid w:type="lines" w:linePitch="435" w:charSpace="0"/>
        </w:sectPr>
      </w:pPr>
    </w:p>
    <w:p>
      <w:pPr>
        <w:adjustRightInd w:val="0"/>
        <w:snapToGrid w:val="0"/>
        <w:spacing w:line="360" w:lineRule="auto"/>
        <w:rPr>
          <w:rFonts w:ascii="黑体" w:eastAsia="黑体" w:cs="Arial"/>
          <w:sz w:val="32"/>
          <w:szCs w:val="32"/>
        </w:rPr>
      </w:pPr>
      <w:r>
        <w:rPr>
          <w:rFonts w:hint="eastAsia" w:ascii="黑体" w:eastAsia="黑体" w:cs="Arial"/>
          <w:sz w:val="32"/>
          <w:szCs w:val="32"/>
        </w:rPr>
        <w:t>附件2</w:t>
      </w:r>
    </w:p>
    <w:p>
      <w:pPr>
        <w:adjustRightInd w:val="0"/>
        <w:snapToGrid w:val="0"/>
        <w:jc w:val="center"/>
        <w:rPr>
          <w:rFonts w:ascii="华文中宋" w:eastAsia="华文中宋" w:cs="Arial"/>
          <w:b/>
          <w:bCs/>
          <w:sz w:val="44"/>
          <w:szCs w:val="44"/>
        </w:rPr>
      </w:pPr>
      <w:r>
        <w:rPr>
          <w:rFonts w:hint="eastAsia" w:ascii="华文中宋" w:eastAsia="华文中宋" w:cs="Arial"/>
          <w:b/>
          <w:bCs/>
          <w:sz w:val="44"/>
          <w:szCs w:val="44"/>
        </w:rPr>
        <w:t>政策举措清单</w:t>
      </w:r>
    </w:p>
    <w:tbl>
      <w:tblPr>
        <w:tblStyle w:val="8"/>
        <w:tblW w:w="130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55"/>
        <w:gridCol w:w="1736"/>
        <w:gridCol w:w="6039"/>
        <w:gridCol w:w="2986"/>
        <w:gridCol w:w="1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黑体" w:eastAsia="黑体" w:cs="Arial"/>
                <w:sz w:val="24"/>
              </w:rPr>
            </w:pPr>
            <w:r>
              <w:rPr>
                <w:rFonts w:hint="eastAsia" w:ascii="黑体" w:eastAsia="黑体" w:cs="Arial"/>
                <w:kern w:val="0"/>
                <w:sz w:val="24"/>
              </w:rPr>
              <w:t>序号</w:t>
            </w:r>
          </w:p>
        </w:tc>
        <w:tc>
          <w:tcPr>
            <w:tcW w:w="1736"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sz w:val="24"/>
              </w:rPr>
            </w:pPr>
            <w:r>
              <w:rPr>
                <w:rFonts w:hint="eastAsia" w:ascii="黑体" w:eastAsia="黑体" w:cs="Arial"/>
                <w:kern w:val="0"/>
                <w:sz w:val="24"/>
              </w:rPr>
              <w:t>举措名称</w:t>
            </w:r>
          </w:p>
        </w:tc>
        <w:tc>
          <w:tcPr>
            <w:tcW w:w="603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sz w:val="24"/>
              </w:rPr>
            </w:pPr>
            <w:r>
              <w:rPr>
                <w:rFonts w:hint="eastAsia" w:ascii="黑体" w:eastAsia="黑体" w:cs="Arial"/>
                <w:kern w:val="0"/>
                <w:sz w:val="24"/>
              </w:rPr>
              <w:t>举措内容</w:t>
            </w:r>
          </w:p>
        </w:tc>
        <w:tc>
          <w:tcPr>
            <w:tcW w:w="2986"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hint="eastAsia" w:ascii="黑体" w:eastAsia="黑体" w:cs="Arial"/>
                <w:kern w:val="0"/>
                <w:sz w:val="24"/>
                <w:lang w:eastAsia="zh-CN"/>
              </w:rPr>
            </w:pPr>
            <w:r>
              <w:rPr>
                <w:rFonts w:hint="eastAsia" w:ascii="黑体" w:eastAsia="黑体" w:cs="Arial"/>
                <w:kern w:val="0"/>
                <w:sz w:val="24"/>
              </w:rPr>
              <w:t>责任单位</w:t>
            </w:r>
          </w:p>
          <w:p>
            <w:pPr>
              <w:widowControl/>
              <w:adjustRightInd w:val="0"/>
              <w:snapToGrid w:val="0"/>
              <w:jc w:val="center"/>
              <w:textAlignment w:val="center"/>
              <w:rPr>
                <w:rFonts w:ascii="黑体" w:eastAsia="黑体" w:cs="Arial"/>
                <w:sz w:val="24"/>
              </w:rPr>
            </w:pPr>
            <w:r>
              <w:rPr>
                <w:rFonts w:hint="eastAsia" w:ascii="黑体" w:eastAsia="黑体" w:cs="Arial"/>
                <w:kern w:val="0"/>
                <w:sz w:val="24"/>
              </w:rPr>
              <w:t>（按职责分工落实）</w:t>
            </w: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Arial"/>
                <w:sz w:val="24"/>
              </w:rPr>
            </w:pPr>
            <w:r>
              <w:rPr>
                <w:rFonts w:hint="eastAsia" w:ascii="黑体" w:eastAsia="黑体" w:cs="Arial"/>
                <w:kern w:val="0"/>
                <w:sz w:val="24"/>
              </w:rPr>
              <w:t>任务时限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1</w:t>
            </w:r>
          </w:p>
        </w:tc>
        <w:tc>
          <w:tcPr>
            <w:tcW w:w="173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海洋空间治理相关政策</w:t>
            </w:r>
          </w:p>
        </w:tc>
        <w:tc>
          <w:tcPr>
            <w:tcW w:w="6039"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严格落实海洋空间管控相关制度，出台实施《莆田市“十四五”海洋生态环境保护规划》。</w:t>
            </w:r>
          </w:p>
        </w:tc>
        <w:tc>
          <w:tcPr>
            <w:tcW w:w="298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市自然资源局、生态环境局等</w:t>
            </w: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2022年6月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2</w:t>
            </w:r>
          </w:p>
        </w:tc>
        <w:tc>
          <w:tcPr>
            <w:tcW w:w="173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完善海洋监管措施</w:t>
            </w:r>
          </w:p>
        </w:tc>
        <w:tc>
          <w:tcPr>
            <w:tcW w:w="6039"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完善海洋监管措施，包括船舶水污染物处置联合监管制度，海洋环境突发事件应急响应协调机制，涉海执法巡查监管措施等。</w:t>
            </w:r>
          </w:p>
        </w:tc>
        <w:tc>
          <w:tcPr>
            <w:tcW w:w="298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莆田海事局,省湄洲湾港口发展中心，市交通运输局、应急管理局、生态环境局、海洋渔业局等</w:t>
            </w: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7"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4</w:t>
            </w:r>
          </w:p>
        </w:tc>
        <w:tc>
          <w:tcPr>
            <w:tcW w:w="173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争取国家政策支持</w:t>
            </w:r>
          </w:p>
        </w:tc>
        <w:tc>
          <w:tcPr>
            <w:tcW w:w="6039"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积极争取海洋生态保护修复等中央资金支持，强化海洋生态保护经费保障。</w:t>
            </w:r>
          </w:p>
        </w:tc>
        <w:tc>
          <w:tcPr>
            <w:tcW w:w="298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市财政局、发改委、自然资源局、生态环境局等</w:t>
            </w: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7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5</w:t>
            </w:r>
          </w:p>
        </w:tc>
        <w:tc>
          <w:tcPr>
            <w:tcW w:w="173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加大金融支持</w:t>
            </w:r>
          </w:p>
        </w:tc>
        <w:tc>
          <w:tcPr>
            <w:tcW w:w="6039"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鼓励金融机构给予符合市场化融资条件的海洋生态环境保护重大工程项目中长期优惠信贷支持，通过规范政府和社会资本合作、政府购买服务、环境污染第三方治理等方式，吸引社会资本参与海洋生态环境保护。</w:t>
            </w:r>
          </w:p>
        </w:tc>
        <w:tc>
          <w:tcPr>
            <w:tcW w:w="2986"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sz w:val="24"/>
              </w:rPr>
            </w:pPr>
            <w:r>
              <w:rPr>
                <w:rFonts w:hint="eastAsia" w:ascii="仿宋_GB2312" w:eastAsia="仿宋_GB2312" w:cs="Arial"/>
                <w:kern w:val="0"/>
                <w:sz w:val="24"/>
              </w:rPr>
              <w:t>市金融办、财政局、发改委等</w:t>
            </w: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sz w:val="24"/>
              </w:rPr>
            </w:pPr>
            <w:r>
              <w:rPr>
                <w:rFonts w:hint="eastAsia" w:ascii="仿宋_GB2312" w:eastAsia="仿宋_GB2312" w:cs="Arial"/>
                <w:kern w:val="0"/>
                <w:sz w:val="24"/>
              </w:rPr>
              <w:t>持续推进</w:t>
            </w:r>
          </w:p>
        </w:tc>
      </w:tr>
    </w:tbl>
    <w:p>
      <w:pPr>
        <w:sectPr>
          <w:footerReference r:id="rId8" w:type="even"/>
          <w:pgSz w:w="16840" w:h="11907" w:orient="landscape"/>
          <w:pgMar w:top="1440" w:right="1800" w:bottom="1440" w:left="1800" w:header="851" w:footer="1418" w:gutter="0"/>
          <w:pgNumType w:fmt="numberInDash"/>
          <w:cols w:space="720" w:num="1"/>
          <w:formProt w:val="0"/>
          <w:docGrid w:type="lines" w:linePitch="435" w:charSpace="0"/>
        </w:sectPr>
      </w:pPr>
    </w:p>
    <w:p>
      <w:pPr>
        <w:adjustRightInd w:val="0"/>
        <w:snapToGrid w:val="0"/>
        <w:spacing w:line="360" w:lineRule="auto"/>
        <w:rPr>
          <w:rFonts w:ascii="黑体" w:eastAsia="黑体" w:cs="Arial"/>
          <w:sz w:val="32"/>
          <w:szCs w:val="32"/>
        </w:rPr>
      </w:pPr>
      <w:r>
        <w:rPr>
          <w:rFonts w:hint="eastAsia" w:ascii="黑体" w:eastAsia="黑体" w:cs="Arial"/>
          <w:sz w:val="32"/>
          <w:szCs w:val="32"/>
        </w:rPr>
        <w:t>附件3</w:t>
      </w:r>
    </w:p>
    <w:p>
      <w:pPr>
        <w:adjustRightInd w:val="0"/>
        <w:snapToGrid w:val="0"/>
        <w:jc w:val="center"/>
        <w:rPr>
          <w:rFonts w:ascii="华文中宋" w:eastAsia="华文中宋" w:cs="Times New Roman"/>
          <w:b/>
          <w:bCs/>
          <w:sz w:val="44"/>
          <w:szCs w:val="44"/>
        </w:rPr>
      </w:pPr>
      <w:r>
        <w:rPr>
          <w:rFonts w:hint="eastAsia" w:ascii="华文中宋" w:eastAsia="华文中宋" w:cs="Arial"/>
          <w:b/>
          <w:bCs/>
          <w:sz w:val="44"/>
          <w:szCs w:val="44"/>
        </w:rPr>
        <w:t>工作责任分工清单</w:t>
      </w:r>
    </w:p>
    <w:tbl>
      <w:tblPr>
        <w:tblStyle w:val="8"/>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98"/>
        <w:gridCol w:w="1525"/>
        <w:gridCol w:w="6447"/>
        <w:gridCol w:w="3093"/>
        <w:gridCol w:w="149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2" w:hRule="atLeast"/>
          <w:tblHeader/>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黑体" w:eastAsia="黑体" w:cs="Times New Roman"/>
                <w:sz w:val="24"/>
              </w:rPr>
            </w:pPr>
            <w:r>
              <w:rPr>
                <w:rFonts w:hint="eastAsia" w:ascii="黑体" w:eastAsia="黑体" w:cs="Arial"/>
                <w:kern w:val="0"/>
                <w:sz w:val="24"/>
              </w:rPr>
              <w:t>序号</w:t>
            </w:r>
          </w:p>
        </w:tc>
        <w:tc>
          <w:tcPr>
            <w:tcW w:w="1525"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Times New Roman"/>
                <w:sz w:val="24"/>
              </w:rPr>
            </w:pPr>
            <w:r>
              <w:rPr>
                <w:rFonts w:hint="eastAsia" w:ascii="黑体" w:eastAsia="黑体" w:cs="Arial"/>
                <w:kern w:val="0"/>
                <w:sz w:val="24"/>
              </w:rPr>
              <w:t>任务名称</w:t>
            </w: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Times New Roman"/>
                <w:sz w:val="24"/>
              </w:rPr>
            </w:pPr>
            <w:r>
              <w:rPr>
                <w:rFonts w:hint="eastAsia" w:ascii="黑体" w:eastAsia="黑体" w:cs="Arial"/>
                <w:kern w:val="0"/>
                <w:sz w:val="24"/>
              </w:rPr>
              <w:t>任务内容</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hint="eastAsia" w:ascii="黑体" w:eastAsia="黑体" w:cs="Arial"/>
                <w:kern w:val="0"/>
                <w:sz w:val="24"/>
                <w:lang w:eastAsia="zh-CN"/>
              </w:rPr>
            </w:pPr>
            <w:r>
              <w:rPr>
                <w:rFonts w:hint="eastAsia" w:ascii="黑体" w:eastAsia="黑体" w:cs="Arial"/>
                <w:kern w:val="0"/>
                <w:sz w:val="24"/>
              </w:rPr>
              <w:t>责任单位</w:t>
            </w:r>
          </w:p>
          <w:p>
            <w:pPr>
              <w:widowControl/>
              <w:adjustRightInd w:val="0"/>
              <w:snapToGrid w:val="0"/>
              <w:jc w:val="center"/>
              <w:textAlignment w:val="center"/>
              <w:rPr>
                <w:rFonts w:ascii="黑体" w:eastAsia="黑体" w:cs="Times New Roman"/>
                <w:sz w:val="24"/>
              </w:rPr>
            </w:pPr>
            <w:r>
              <w:rPr>
                <w:rFonts w:hint="eastAsia" w:ascii="黑体" w:eastAsia="黑体" w:cs="Arial"/>
                <w:kern w:val="0"/>
                <w:sz w:val="24"/>
              </w:rPr>
              <w:t>（按职责分工落实）</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黑体" w:eastAsia="黑体" w:cs="Times New Roman"/>
                <w:sz w:val="24"/>
              </w:rPr>
            </w:pPr>
            <w:r>
              <w:rPr>
                <w:rFonts w:hint="eastAsia" w:ascii="黑体" w:eastAsia="黑体" w:cs="Arial"/>
                <w:kern w:val="0"/>
                <w:sz w:val="24"/>
              </w:rPr>
              <w:t>任务时限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9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w:t>
            </w:r>
          </w:p>
        </w:tc>
        <w:tc>
          <w:tcPr>
            <w:tcW w:w="1525" w:type="dxa"/>
            <w:vMerge w:val="restart"/>
            <w:tcBorders>
              <w:top w:val="nil"/>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提高海洋空间治理水平</w:t>
            </w: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实施陆海一体国土空间用途管制和生态环境分区管控要求，构建陆域、流域、海域相统筹的海洋空间治理体系。</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各县（区）人民政府（管委会）、市自然资源局、生态环境局。以下均需各县（区、管委会）落实，不再列出。</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3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保护提升海洋休闲娱乐区、滨海风景名胜区、沙滩浴场、海洋公园等重点功能区海岸带生态功能和滨海景观，保障公众亲海空间，促进滨海旅游等绿色产业高质量发展。</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市自然资源局、生态环境局、文旅局、林业局、海洋渔业局，莆田海事局等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7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3</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以“美丽海湾”保护与建设为统领，以海湾（湾区）为基础管理单元，健全环境治理与可持续开发利用相协调的政策体系，构建陆海统筹、河海联动、系统治理的海洋生态环境管治格局。</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市生态环境局、自然资源局、林业局、海洋渔业局，交通运输局，省湄洲湾港口发展中心，莆田海事局等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84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4</w:t>
            </w:r>
          </w:p>
        </w:tc>
        <w:tc>
          <w:tcPr>
            <w:tcW w:w="1525" w:type="dxa"/>
            <w:vMerge w:val="restart"/>
            <w:tcBorders>
              <w:top w:val="nil"/>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实施海岸带美化提升工程</w:t>
            </w:r>
          </w:p>
        </w:tc>
        <w:tc>
          <w:tcPr>
            <w:tcW w:w="6447" w:type="dxa"/>
            <w:tcBorders>
              <w:top w:val="single" w:color="auto" w:sz="4" w:space="0"/>
              <w:left w:val="nil"/>
              <w:bottom w:val="single" w:color="auto" w:sz="4" w:space="0"/>
              <w:right w:val="single" w:color="auto" w:sz="4" w:space="0"/>
            </w:tcBorders>
            <w:vAlign w:val="center"/>
          </w:tcPr>
          <w:p>
            <w:pPr>
              <w:adjustRightInd w:val="0"/>
              <w:snapToGrid w:val="0"/>
              <w:ind w:firstLine="480" w:firstLineChars="200"/>
              <w:rPr>
                <w:rFonts w:ascii="仿宋_GB2312" w:eastAsia="仿宋_GB2312" w:cs="Arial"/>
                <w:kern w:val="0"/>
                <w:sz w:val="24"/>
              </w:rPr>
            </w:pPr>
            <w:r>
              <w:rPr>
                <w:rFonts w:hint="eastAsia" w:ascii="仿宋_GB2312" w:eastAsia="仿宋_GB2312" w:cs="Arial"/>
                <w:kern w:val="0"/>
                <w:sz w:val="24"/>
              </w:rPr>
              <w:t>对海岸线向陆域侧一公里范围的滨海陆地和领海基线内的近岸海域，持续开展环境整治行动，在兴化湾重点海湾河口开展“蓝色海湾”、海岸带生态整治修复，将湄洲岛建设成为“美丽海湾”先行示范区。</w:t>
            </w:r>
          </w:p>
          <w:p>
            <w:pPr>
              <w:widowControl/>
              <w:adjustRightInd w:val="0"/>
              <w:snapToGrid w:val="0"/>
              <w:textAlignment w:val="center"/>
              <w:rPr>
                <w:rFonts w:ascii="仿宋_GB2312" w:eastAsia="仿宋_GB2312" w:cs="Times New Roman"/>
                <w:sz w:val="24"/>
              </w:rPr>
            </w:pP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市自然资源局、生态环境局、住建局、文旅局、交通运输局、省湄洲湾港口发展中心等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3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5</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加强滨海沙滩保护和修复，将</w:t>
            </w:r>
            <w:r>
              <w:rPr>
                <w:rFonts w:ascii="仿宋_GB2312" w:eastAsia="仿宋_GB2312" w:cs="Arial"/>
                <w:kern w:val="0"/>
                <w:sz w:val="24"/>
              </w:rPr>
              <w:t>湄洲岛莲池、鹅尾，平海嵌头</w:t>
            </w:r>
            <w:r>
              <w:rPr>
                <w:rFonts w:hint="eastAsia" w:ascii="仿宋_GB2312" w:eastAsia="仿宋_GB2312" w:cs="Arial"/>
                <w:kern w:val="0"/>
                <w:sz w:val="24"/>
              </w:rPr>
              <w:t>建设成</w:t>
            </w:r>
            <w:r>
              <w:rPr>
                <w:rFonts w:ascii="仿宋_GB2312" w:eastAsia="仿宋_GB2312" w:cs="Arial"/>
                <w:kern w:val="0"/>
                <w:sz w:val="24"/>
              </w:rPr>
              <w:t>滨海沙滩景观带样板</w:t>
            </w:r>
            <w:r>
              <w:rPr>
                <w:rFonts w:hint="eastAsia" w:ascii="仿宋_GB2312" w:eastAsia="仿宋_GB2312" w:cs="Arial"/>
                <w:kern w:val="0"/>
                <w:sz w:val="24"/>
              </w:rPr>
              <w:t>。</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市自然资源局、文旅局等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2023年底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83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6</w:t>
            </w:r>
          </w:p>
        </w:tc>
        <w:tc>
          <w:tcPr>
            <w:tcW w:w="1525" w:type="dxa"/>
            <w:vMerge w:val="restart"/>
            <w:tcBorders>
              <w:top w:val="nil"/>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加强海洋生态保护修复</w:t>
            </w: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ascii="仿宋_GB2312" w:eastAsia="仿宋_GB2312" w:cs="Arial"/>
                <w:kern w:val="0"/>
                <w:sz w:val="24"/>
              </w:rPr>
              <w:t>加强生态海堤和自然岸线保护，围绕木兰溪入海口和北岸妈祖城两大区域，实施“蓝色海湾”整治行动。加强滨海沙滩保护和修复，全面治理海岸侵蚀，砂质海滩垃圾堆积、人为破坏等问题，在兴化湾等重要迁飞鸟类栖息地开展生境营造、微景观改造等保护修复工程</w:t>
            </w:r>
            <w:r>
              <w:rPr>
                <w:rFonts w:hint="eastAsia" w:ascii="仿宋_GB2312" w:eastAsia="仿宋_GB2312" w:cs="Arial"/>
                <w:kern w:val="0"/>
                <w:sz w:val="24"/>
              </w:rPr>
              <w:t>。</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市自然资源局、生态环境局、财政局等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2023年底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79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7</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ascii="仿宋_GB2312" w:eastAsia="仿宋_GB2312" w:cs="Arial"/>
                <w:kern w:val="0"/>
                <w:sz w:val="24"/>
              </w:rPr>
              <w:t>开展红树林生态保护与修复，加强互花米草等外来物种入侵防治，至2023年，实施湿地保护修复</w:t>
            </w:r>
            <w:r>
              <w:rPr>
                <w:rFonts w:hint="eastAsia" w:ascii="仿宋_GB2312" w:eastAsia="仿宋_GB2312" w:cs="Arial"/>
                <w:kern w:val="0"/>
                <w:sz w:val="24"/>
              </w:rPr>
              <w:t>1</w:t>
            </w:r>
            <w:r>
              <w:rPr>
                <w:rFonts w:ascii="仿宋_GB2312" w:eastAsia="仿宋_GB2312" w:cs="Arial"/>
                <w:kern w:val="0"/>
                <w:sz w:val="24"/>
              </w:rPr>
              <w:t>处，修复红树林300亩。</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市林业局、自然资源局等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2023年底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9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8</w:t>
            </w:r>
          </w:p>
        </w:tc>
        <w:tc>
          <w:tcPr>
            <w:tcW w:w="1525" w:type="dxa"/>
            <w:vMerge w:val="restart"/>
            <w:tcBorders>
              <w:top w:val="nil"/>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联防联控陆海主要污染</w:t>
            </w: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构建流域-河口-近岸海域污染防治联动机制，协同推进入海河流和排污口精准治理，加强船舶港口、海水养殖等污染治理。</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市生态环境局、交通运输局、海洋渔业局、工信局、住建局、水利局,省湄洲湾港口发展中心，莆田海事局等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Arial"/>
                <w:kern w:val="0"/>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8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9</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建立入海排污口“一口一档”动态管理台账，系统推进分类整治，清理设置不合理的入海排污口，取缔非法入海排污口。</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市生态环境局、海洋渔业局、工信局、住建局、水利局,莆田海事局等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10</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持续开展入海河流消劣巩固行动，整治不能稳定消除劣V类的入海河流，对未达到水质目标要求的入海河流，开展精准综合整治。</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市生态环境局、水利局、河长办等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5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11</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加快补齐仙游枫亭、荔城北高、城厢东海、涵江江口、秀屿南日岛、北岸山亭等沿海乡镇污水收集处理和尾水排放基础设施短板。</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市生态环境局、工信局、住建局等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12</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完善船舶水污染物处置联合监管制度，实施船舶水污染物分类管理。</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市交通运输局、海洋渔业局，省湄洲湾港口发展中心，莆田海事局等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13</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严格落实《海上养殖转型升级行动方案》，加强养殖环境污染治理和监管。</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市海洋渔业局、生态环境局等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2023年底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02"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14</w:t>
            </w:r>
          </w:p>
        </w:tc>
        <w:tc>
          <w:tcPr>
            <w:tcW w:w="1525" w:type="dxa"/>
            <w:vMerge w:val="restart"/>
            <w:tcBorders>
              <w:top w:val="nil"/>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推进海漂垃圾综合治理</w:t>
            </w: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spacing w:line="288" w:lineRule="auto"/>
              <w:textAlignment w:val="center"/>
              <w:rPr>
                <w:rFonts w:ascii="仿宋_GB2312" w:eastAsia="仿宋_GB2312" w:cs="Times New Roman"/>
                <w:sz w:val="24"/>
              </w:rPr>
            </w:pPr>
            <w:r>
              <w:rPr>
                <w:rFonts w:hint="eastAsia" w:ascii="仿宋_GB2312" w:eastAsia="仿宋_GB2312" w:cs="Arial"/>
                <w:kern w:val="0"/>
                <w:sz w:val="24"/>
              </w:rPr>
              <w:t>深入实施《进一步加强海漂垃圾综合治理行动方案》，加强组建专业化海上环卫队伍建设，集中攻坚清理近岸海域和海岸带既有垃圾，进一步健全“岸上管、流域拦、海面清”的海漂垃圾综合治理机制。</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市生态环境局、海洋渔业局、城市管理局、水利局、农业农村局、文旅局等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5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15</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spacing w:line="288" w:lineRule="auto"/>
              <w:textAlignment w:val="center"/>
              <w:rPr>
                <w:rFonts w:ascii="仿宋_GB2312" w:eastAsia="仿宋_GB2312" w:cs="Times New Roman"/>
                <w:sz w:val="24"/>
              </w:rPr>
            </w:pPr>
            <w:r>
              <w:rPr>
                <w:rFonts w:hint="eastAsia" w:ascii="仿宋_GB2312" w:eastAsia="仿宋_GB2312" w:cs="Arial"/>
                <w:kern w:val="0"/>
                <w:sz w:val="24"/>
              </w:rPr>
              <w:t>开展对入海口、养殖集中区、滨海旅游度假区等重点岸段的定期随机抽查，夯实海漂垃圾源头管控。</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市生态环境局、海洋渔业局、文旅局等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9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16</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spacing w:line="288" w:lineRule="auto"/>
              <w:textAlignment w:val="center"/>
              <w:rPr>
                <w:rFonts w:ascii="仿宋_GB2312" w:eastAsia="仿宋_GB2312" w:cs="Times New Roman"/>
                <w:sz w:val="24"/>
              </w:rPr>
            </w:pPr>
            <w:r>
              <w:rPr>
                <w:rFonts w:hint="eastAsia" w:ascii="仿宋_GB2312" w:eastAsia="仿宋_GB2312" w:cs="Arial"/>
                <w:kern w:val="0"/>
                <w:sz w:val="24"/>
              </w:rPr>
              <w:t>2022年基本建成重点岸段海漂垃圾视频监控，推动海漂垃圾智慧治理。</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2022年底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721"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17</w:t>
            </w:r>
          </w:p>
        </w:tc>
        <w:tc>
          <w:tcPr>
            <w:tcW w:w="1525" w:type="dxa"/>
            <w:vMerge w:val="restart"/>
            <w:tcBorders>
              <w:top w:val="nil"/>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提高海洋风险防范能力</w:t>
            </w: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健全突发环境事件风险动态评估和常态化防控机制，加强对海洋船舶污染、码头污染、养殖污染、海洋倾废和赤潮灾害的监测防治，建立赤潮高发区、油气储运、危化品港口码头与仓储区、海洋生态敏感区等重点区域涉海风险源清单和管理台账。</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市生态环境局、应急管理局、海洋渔业局，莆田海事局，莆田海警局等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8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18</w:t>
            </w:r>
          </w:p>
        </w:tc>
        <w:tc>
          <w:tcPr>
            <w:tcW w:w="1525" w:type="dxa"/>
            <w:vMerge w:val="continue"/>
            <w:tcBorders>
              <w:top w:val="nil"/>
              <w:left w:val="nil"/>
              <w:bottom w:val="single" w:color="auto" w:sz="4" w:space="0"/>
              <w:right w:val="single" w:color="auto" w:sz="4" w:space="0"/>
            </w:tcBorders>
            <w:vAlign w:val="center"/>
          </w:tcPr>
          <w:p/>
        </w:tc>
        <w:tc>
          <w:tcPr>
            <w:tcW w:w="6447" w:type="dxa"/>
            <w:vMerge w:val="restart"/>
            <w:tcBorders>
              <w:top w:val="single" w:color="auto" w:sz="4" w:space="0"/>
              <w:left w:val="nil"/>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建立健全多方联动的海洋环境突发事件应急响应协调机制。</w:t>
            </w:r>
          </w:p>
          <w:p>
            <w:pPr>
              <w:adjustRightInd w:val="0"/>
              <w:snapToGrid w:val="0"/>
              <w:textAlignment w:val="center"/>
              <w:rPr>
                <w:rFonts w:ascii="仿宋_GB2312" w:eastAsia="仿宋_GB2312" w:cs="Arial"/>
                <w:b/>
                <w:kern w:val="0"/>
                <w:sz w:val="24"/>
              </w:rPr>
            </w:pPr>
            <w:r>
              <w:rPr>
                <w:rFonts w:hint="eastAsia" w:ascii="仿宋_GB2312" w:eastAsia="仿宋_GB2312" w:cs="Arial"/>
                <w:kern w:val="0"/>
                <w:sz w:val="24"/>
              </w:rPr>
              <w:t>加强海上溢油、危险化学品泄漏等风险管控。</w:t>
            </w:r>
          </w:p>
        </w:tc>
        <w:tc>
          <w:tcPr>
            <w:tcW w:w="3093" w:type="dxa"/>
            <w:vMerge w:val="restart"/>
            <w:tcBorders>
              <w:top w:val="single" w:color="auto" w:sz="4" w:space="0"/>
              <w:left w:val="nil"/>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市应急管理局、生态环境局、海洋渔业局、莆田海事局、莆田海警局等</w:t>
            </w:r>
          </w:p>
        </w:tc>
        <w:tc>
          <w:tcPr>
            <w:tcW w:w="1492" w:type="dxa"/>
            <w:vMerge w:val="restart"/>
            <w:tcBorders>
              <w:top w:val="single" w:color="auto" w:sz="4" w:space="0"/>
              <w:left w:val="nil"/>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19</w:t>
            </w:r>
          </w:p>
        </w:tc>
        <w:tc>
          <w:tcPr>
            <w:tcW w:w="1525" w:type="dxa"/>
            <w:vMerge w:val="continue"/>
            <w:tcBorders>
              <w:top w:val="nil"/>
              <w:left w:val="nil"/>
              <w:bottom w:val="single" w:color="auto" w:sz="4" w:space="0"/>
              <w:right w:val="single" w:color="auto" w:sz="4" w:space="0"/>
            </w:tcBorders>
            <w:vAlign w:val="center"/>
          </w:tcPr>
          <w:p/>
        </w:tc>
        <w:tc>
          <w:tcPr>
            <w:tcW w:w="6447" w:type="dxa"/>
            <w:vMerge w:val="continue"/>
            <w:tcBorders>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b/>
                <w:kern w:val="0"/>
                <w:sz w:val="24"/>
              </w:rPr>
            </w:pPr>
          </w:p>
        </w:tc>
        <w:tc>
          <w:tcPr>
            <w:tcW w:w="3093" w:type="dxa"/>
            <w:vMerge w:val="continue"/>
            <w:tcBorders>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p>
        </w:tc>
        <w:tc>
          <w:tcPr>
            <w:tcW w:w="1492" w:type="dxa"/>
            <w:vMerge w:val="continue"/>
            <w:tcBorders>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88"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20</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建设生态海堤，提升抵御台风、海雾、风暴潮等气象、海洋灾害能力，筑牢海上安全防线。</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市水利局、海洋渔业局、应急局、气象局、生态环境局，莆田海事局、莆田海警局等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3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21</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对盗采海砂、非法倾废、偷排污水、非法捕捞等违法违规行为始终保持高压态势，逐步完善疏堵结合的监管措施。</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Times New Roman"/>
                <w:sz w:val="24"/>
              </w:rPr>
            </w:pPr>
            <w:r>
              <w:rPr>
                <w:rFonts w:hint="eastAsia" w:ascii="仿宋_GB2312" w:eastAsia="仿宋_GB2312" w:cs="Arial"/>
                <w:kern w:val="0"/>
                <w:sz w:val="24"/>
              </w:rPr>
              <w:t>市自然资源局、海洋渔业局、生态环境局，莆田海事局、莆田海警局等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44"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22</w:t>
            </w:r>
          </w:p>
        </w:tc>
        <w:tc>
          <w:tcPr>
            <w:tcW w:w="1525" w:type="dxa"/>
            <w:vMerge w:val="restart"/>
            <w:tcBorders>
              <w:top w:val="nil"/>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抢占海洋碳汇制高点</w:t>
            </w: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ascii="仿宋_GB2312" w:eastAsia="仿宋_GB2312" w:cs="Arial"/>
                <w:kern w:val="0"/>
                <w:sz w:val="24"/>
              </w:rPr>
              <w:t>推进湄洲岛海岛生态特别保护区建设，突出湄洲岛国家海洋公园保护管理，力争打造全国首个“零碳岛”。</w:t>
            </w: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市发改委、科技局、气象局、自然资源局、海洋渔业局、林业局、生态环境局等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8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23</w:t>
            </w:r>
          </w:p>
        </w:tc>
        <w:tc>
          <w:tcPr>
            <w:tcW w:w="1525" w:type="dxa"/>
            <w:vMerge w:val="continue"/>
            <w:tcBorders>
              <w:top w:val="nil"/>
              <w:left w:val="nil"/>
              <w:bottom w:val="single" w:color="auto" w:sz="4" w:space="0"/>
              <w:right w:val="single" w:color="auto" w:sz="4" w:space="0"/>
            </w:tcBorders>
            <w:vAlign w:val="center"/>
          </w:tcPr>
          <w:p/>
        </w:tc>
        <w:tc>
          <w:tcPr>
            <w:tcW w:w="6447"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ascii="仿宋_GB2312" w:eastAsia="仿宋_GB2312" w:cs="Arial"/>
                <w:kern w:val="0"/>
                <w:sz w:val="24"/>
              </w:rPr>
              <w:t>开展海水养殖增汇、滨海湿地和红树林增汇、海洋微生物增汇等试点工程，提高海洋固碳增汇能力，重点发挥我市贝藻类海水养殖优势，通过贝藻类立体混合养殖、海洋捕捞，加大滤食性鱼苗和贝类苗种放流，建设人工鱼礁等方式，提升渔业碳汇贡献率。</w:t>
            </w:r>
          </w:p>
          <w:p>
            <w:pPr>
              <w:widowControl/>
              <w:adjustRightInd w:val="0"/>
              <w:snapToGrid w:val="0"/>
              <w:textAlignment w:val="center"/>
              <w:rPr>
                <w:rFonts w:ascii="仿宋_GB2312" w:eastAsia="仿宋_GB2312" w:cs="Arial"/>
                <w:kern w:val="0"/>
                <w:sz w:val="24"/>
              </w:rPr>
            </w:pPr>
          </w:p>
        </w:tc>
        <w:tc>
          <w:tcPr>
            <w:tcW w:w="3093" w:type="dxa"/>
            <w:tcBorders>
              <w:top w:val="single" w:color="auto" w:sz="4" w:space="0"/>
              <w:left w:val="nil"/>
              <w:bottom w:val="single" w:color="auto" w:sz="4" w:space="0"/>
              <w:right w:val="single" w:color="auto" w:sz="4" w:space="0"/>
            </w:tcBorders>
            <w:vAlign w:val="center"/>
          </w:tcPr>
          <w:p>
            <w:pPr>
              <w:widowControl/>
              <w:adjustRightInd w:val="0"/>
              <w:snapToGrid w:val="0"/>
              <w:textAlignment w:val="center"/>
              <w:rPr>
                <w:rFonts w:ascii="仿宋_GB2312" w:eastAsia="仿宋_GB2312" w:cs="Arial"/>
                <w:kern w:val="0"/>
                <w:sz w:val="24"/>
              </w:rPr>
            </w:pPr>
            <w:r>
              <w:rPr>
                <w:rFonts w:hint="eastAsia" w:ascii="仿宋_GB2312" w:eastAsia="仿宋_GB2312" w:cs="Arial"/>
                <w:kern w:val="0"/>
                <w:sz w:val="24"/>
              </w:rPr>
              <w:t>市发改委、科技局、海洋渔业局、林业局、气象局、生态环境局等</w:t>
            </w:r>
          </w:p>
        </w:tc>
        <w:tc>
          <w:tcPr>
            <w:tcW w:w="1492"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仿宋_GB2312" w:eastAsia="仿宋_GB2312" w:cs="Times New Roman"/>
                <w:sz w:val="24"/>
              </w:rPr>
            </w:pPr>
            <w:r>
              <w:rPr>
                <w:rFonts w:hint="eastAsia" w:ascii="仿宋_GB2312" w:eastAsia="仿宋_GB2312" w:cs="Arial"/>
                <w:kern w:val="0"/>
                <w:sz w:val="24"/>
              </w:rPr>
              <w:t>持续推进</w:t>
            </w:r>
          </w:p>
        </w:tc>
      </w:tr>
    </w:tbl>
    <w:p>
      <w:pPr>
        <w:sectPr>
          <w:footerReference r:id="rId11" w:type="first"/>
          <w:footerReference r:id="rId9" w:type="default"/>
          <w:footerReference r:id="rId10" w:type="even"/>
          <w:pgSz w:w="16839" w:h="11907" w:orient="landscape"/>
          <w:pgMar w:top="1440" w:right="1800" w:bottom="1440" w:left="1800" w:header="851" w:footer="1418" w:gutter="0"/>
          <w:pgNumType w:fmt="numberInDash"/>
          <w:cols w:space="720" w:num="1"/>
          <w:formProt w:val="0"/>
          <w:titlePg/>
          <w:docGrid w:type="lines" w:linePitch="435" w:charSpace="0"/>
        </w:sectPr>
      </w:pPr>
    </w:p>
    <w:p>
      <w:pPr>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Times New Roman" w:hAnsi="Times New Roman" w:eastAsia="仿宋_GB2312" w:cs="Times New Roman"/>
          <w:sz w:val="28"/>
          <w:szCs w:val="28"/>
        </w:rPr>
      </w:pPr>
    </w:p>
    <w:p>
      <w:pPr>
        <w:ind w:firstLine="280" w:firstLineChars="100"/>
        <w:rPr>
          <w:rFonts w:ascii="仿宋_GB2312" w:eastAsia="仿宋_GB2312" w:cs="Times New Roman"/>
          <w:sz w:val="28"/>
          <w:szCs w:val="28"/>
          <w:lang w:eastAsia="ar-SA"/>
        </w:rPr>
      </w:pPr>
    </w:p>
    <w:p>
      <w:pPr>
        <w:pBdr>
          <w:top w:val="single" w:color="auto" w:sz="6" w:space="1"/>
          <w:bottom w:val="single" w:color="auto" w:sz="6" w:space="1"/>
        </w:pBdr>
        <w:tabs>
          <w:tab w:val="left" w:pos="287"/>
        </w:tabs>
        <w:spacing w:line="600" w:lineRule="exact"/>
        <w:ind w:firstLine="280" w:firstLineChars="100"/>
        <w:textAlignment w:val="center"/>
        <w:rPr>
          <w:rFonts w:ascii="仿宋_GB2312" w:eastAsia="仿宋_GB2312" w:cs="Times New Roman"/>
          <w:sz w:val="28"/>
          <w:szCs w:val="20"/>
        </w:rPr>
      </w:pPr>
      <w:r>
        <w:rPr>
          <w:rFonts w:hint="eastAsia" w:ascii="仿宋_GB2312" w:eastAsia="仿宋_GB2312" w:cs="Times New Roman"/>
          <w:sz w:val="28"/>
          <w:szCs w:val="28"/>
        </w:rPr>
        <w:t xml:space="preserve">莆田市生态环境局办公室                 </w:t>
      </w:r>
      <w:bookmarkStart w:id="0" w:name="yearTwo"/>
      <w:r>
        <w:rPr>
          <w:rFonts w:hint="eastAsia" w:ascii="仿宋_GB2312" w:eastAsia="仿宋_GB2312" w:cs="Times New Roman"/>
          <w:sz w:val="28"/>
          <w:szCs w:val="28"/>
        </w:rPr>
        <w:t>2022年2月10日</w:t>
      </w:r>
      <w:bookmarkEnd w:id="0"/>
      <w:r>
        <w:rPr>
          <w:rFonts w:hint="eastAsia" w:ascii="仿宋_GB2312" w:eastAsia="仿宋_GB2312" w:cs="Times New Roman"/>
          <w:sz w:val="28"/>
          <w:szCs w:val="28"/>
        </w:rPr>
        <w:t>印发</w:t>
      </w:r>
    </w:p>
    <w:sectPr>
      <w:footerReference r:id="rId12" w:type="default"/>
      <w:footerReference r:id="rId13" w:type="even"/>
      <w:pgSz w:w="11907" w:h="16840"/>
      <w:pgMar w:top="1418" w:right="1588" w:bottom="1418" w:left="1588" w:header="851" w:footer="851"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17AFA5-C78E-40FA-85F2-D8B7DB969B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04B8BC-65A0-4FD0-8E61-2C47EA91E8AE}"/>
  </w:font>
  <w:font w:name="仿宋_GB2312">
    <w:altName w:val="仿宋"/>
    <w:panose1 w:val="02010609030101010101"/>
    <w:charset w:val="86"/>
    <w:family w:val="modern"/>
    <w:pitch w:val="default"/>
    <w:sig w:usb0="00000000" w:usb1="00000000" w:usb2="00000010" w:usb3="00000000" w:csb0="00040000" w:csb1="00000000"/>
    <w:embedRegular r:id="rId3" w:fontKey="{5B95CB38-070B-4A8C-AB92-243403CFEC09}"/>
  </w:font>
  <w:font w:name="仿宋">
    <w:panose1 w:val="02010609060101010101"/>
    <w:charset w:val="86"/>
    <w:family w:val="auto"/>
    <w:pitch w:val="default"/>
    <w:sig w:usb0="800002BF" w:usb1="38CF7CFA" w:usb2="00000016" w:usb3="00000000" w:csb0="00040001" w:csb1="00000000"/>
    <w:embedRegular r:id="rId4" w:fontKey="{A89FDADD-4BC4-4571-9881-A80678249162}"/>
  </w:font>
  <w:font w:name="Arial">
    <w:panose1 w:val="020B0604020202020204"/>
    <w:charset w:val="00"/>
    <w:family w:val="swiss"/>
    <w:pitch w:val="default"/>
    <w:sig w:usb0="E0002EFF" w:usb1="C000785B" w:usb2="00000009" w:usb3="00000000" w:csb0="400001FF" w:csb1="FFFF0000"/>
    <w:embedRegular r:id="rId5" w:fontKey="{A6603E8A-1791-4BC2-A357-DF403632A4C6}"/>
  </w:font>
  <w:font w:name="方正小标宋简体">
    <w:panose1 w:val="02000000000000000000"/>
    <w:charset w:val="86"/>
    <w:family w:val="script"/>
    <w:pitch w:val="default"/>
    <w:sig w:usb0="00000001" w:usb1="08000000" w:usb2="00000000" w:usb3="00000000" w:csb0="00040000" w:csb1="00000000"/>
    <w:embedRegular r:id="rId6" w:fontKey="{E2283D08-1881-4BED-B339-51A4CA1C2FF8}"/>
  </w:font>
  <w:font w:name="楷体_GB2312">
    <w:altName w:val="楷体"/>
    <w:panose1 w:val="02010609030101010101"/>
    <w:charset w:val="86"/>
    <w:family w:val="modern"/>
    <w:pitch w:val="default"/>
    <w:sig w:usb0="00000000" w:usb1="00000000" w:usb2="00000010" w:usb3="00000000" w:csb0="00040000" w:csb1="00000000"/>
    <w:embedRegular r:id="rId7" w:fontKey="{ED2C41BD-E852-43A7-8D7F-F458F1558E5D}"/>
  </w:font>
  <w:font w:name="楷体">
    <w:panose1 w:val="02010609060101010101"/>
    <w:charset w:val="86"/>
    <w:family w:val="auto"/>
    <w:pitch w:val="default"/>
    <w:sig w:usb0="800002BF" w:usb1="38CF7CFA" w:usb2="00000016" w:usb3="00000000" w:csb0="00040001" w:csb1="00000000"/>
    <w:embedRegular r:id="rId8" w:fontKey="{60D65C17-839E-4F66-8E94-1AE71E7AC383}"/>
  </w:font>
  <w:font w:name="华文中宋">
    <w:altName w:val="宋体"/>
    <w:panose1 w:val="02010600040101010101"/>
    <w:charset w:val="86"/>
    <w:family w:val="auto"/>
    <w:pitch w:val="default"/>
    <w:sig w:usb0="00000000" w:usb1="00000000" w:usb2="00000010" w:usb3="00000000" w:csb0="0004009F" w:csb1="00000000"/>
    <w:embedRegular r:id="rId9" w:fontKey="{50FA4B71-4E8D-4A38-A049-07BF5F63C7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90456"/>
      <w:docPartObj>
        <w:docPartGallery w:val="AutoText"/>
      </w:docPartObj>
    </w:sdtPr>
    <w:sdtEndPr>
      <w:rPr>
        <w:sz w:val="28"/>
        <w:szCs w:val="28"/>
      </w:rPr>
    </w:sdtEndPr>
    <w:sdtContent>
      <w:p>
        <w:pPr>
          <w:pStyle w:val="5"/>
          <w:jc w:val="right"/>
          <w:rPr>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280" w:firstLineChars="100"/>
      <w:rPr>
        <w:rFonts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ascii="宋体" w:eastAsia="宋体" w:cs="Times New Roman"/>
        <w:sz w:val="28"/>
        <w:szCs w:val="28"/>
      </w:rPr>
      <w:t>- 16 -</w:t>
    </w:r>
    <w:r>
      <w:rPr>
        <w:rFonts w:hint="eastAsia" w:ascii="宋体" w:eastAsia="宋体"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90457"/>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90462"/>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5"/>
      <w:tabs>
        <w:tab w:val="right" w:pos="8307"/>
        <w:tab w:val="clear" w:pos="8306"/>
      </w:tabs>
      <w:wordWrap w:val="0"/>
      <w:ind w:right="360"/>
      <w:jc w:val="both"/>
      <w:rPr>
        <w:rFonts w:ascii="宋体" w:eastAsia="宋体"/>
        <w:sz w:val="28"/>
        <w:szCs w:val="28"/>
      </w:rPr>
    </w:pPr>
    <w:r>
      <w:rPr>
        <w:rFonts w:hint="eastAsia" w:asci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7"/>
        <w:tab w:val="clear" w:pos="8306"/>
      </w:tabs>
      <w:ind w:right="360" w:firstLine="420" w:firstLineChars="150"/>
    </w:pP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ascii="宋体" w:eastAsia="宋体"/>
        <w:sz w:val="28"/>
        <w:szCs w:val="28"/>
      </w:rPr>
      <w:t>- 8 -</w:t>
    </w:r>
    <w:r>
      <w:rPr>
        <w:rFonts w:hint="eastAsia" w:asci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7"/>
        <w:tab w:val="clear" w:pos="8306"/>
      </w:tabs>
      <w:ind w:right="360" w:firstLine="420" w:firstLineChars="150"/>
    </w:pP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ascii="宋体" w:eastAsia="宋体"/>
        <w:sz w:val="28"/>
        <w:szCs w:val="28"/>
      </w:rPr>
      <w:t>- 10 -</w:t>
    </w:r>
    <w:r>
      <w:rPr>
        <w:rFonts w:hint="eastAsia" w:ascii="宋体" w:eastAsia="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7"/>
        <w:tab w:val="clear" w:pos="8306"/>
      </w:tabs>
      <w:ind w:right="360" w:firstLine="13580" w:firstLineChars="4850"/>
      <w:rPr>
        <w:rFonts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ascii="宋体" w:eastAsia="宋体"/>
        <w:sz w:val="28"/>
        <w:szCs w:val="28"/>
      </w:rPr>
      <w:t>- 13 -</w:t>
    </w:r>
    <w:r>
      <w:rPr>
        <w:rFonts w:hint="eastAsia" w:ascii="宋体" w:eastAsia="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7"/>
        <w:tab w:val="clear" w:pos="8306"/>
      </w:tabs>
      <w:ind w:right="360" w:firstLine="420" w:firstLineChars="150"/>
      <w:jc w:val="both"/>
      <w:rPr>
        <w:rFonts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ascii="宋体" w:eastAsia="宋体"/>
        <w:sz w:val="28"/>
        <w:szCs w:val="28"/>
      </w:rPr>
      <w:t>- 12 -</w:t>
    </w:r>
    <w:r>
      <w:rPr>
        <w:rFonts w:hint="eastAsia" w:ascii="宋体" w:eastAsia="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420" w:firstLineChars="150"/>
      <w:rPr>
        <w:rFonts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ascii="宋体" w:eastAsia="宋体" w:cs="Times New Roman"/>
        <w:sz w:val="28"/>
        <w:szCs w:val="28"/>
      </w:rPr>
      <w:t>- 11 -</w:t>
    </w:r>
    <w:r>
      <w:rPr>
        <w:rFonts w:hint="eastAsia" w:ascii="宋体" w:eastAsia="宋体" w:cs="Times New Roman"/>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0"/>
        <w:rFonts w:hint="eastAsia" w:ascii="宋体" w:eastAsia="宋体"/>
        <w:sz w:val="28"/>
        <w:szCs w:val="28"/>
      </w:rPr>
      <w:t xml:space="preserve">                                                    </w:t>
    </w:r>
    <w:r>
      <w:rPr>
        <w:rStyle w:val="10"/>
        <w:rFonts w:hint="eastAsia" w:ascii="宋体" w:eastAsia="宋体"/>
        <w:sz w:val="28"/>
        <w:szCs w:val="28"/>
      </w:rPr>
      <w:fldChar w:fldCharType="begin"/>
    </w:r>
    <w:r>
      <w:rPr>
        <w:rStyle w:val="10"/>
        <w:rFonts w:hint="eastAsia" w:ascii="宋体" w:eastAsia="宋体"/>
        <w:sz w:val="28"/>
        <w:szCs w:val="28"/>
      </w:rPr>
      <w:instrText xml:space="preserve">PAGE  </w:instrText>
    </w:r>
    <w:r>
      <w:rPr>
        <w:rStyle w:val="10"/>
        <w:rFonts w:hint="eastAsia" w:ascii="宋体" w:eastAsia="宋体"/>
        <w:sz w:val="28"/>
        <w:szCs w:val="28"/>
      </w:rPr>
      <w:fldChar w:fldCharType="separate"/>
    </w:r>
    <w:r>
      <w:rPr>
        <w:rStyle w:val="10"/>
        <w:rFonts w:ascii="宋体" w:eastAsia="宋体"/>
        <w:sz w:val="28"/>
        <w:szCs w:val="28"/>
      </w:rPr>
      <w:t>- 17 -</w:t>
    </w:r>
    <w:r>
      <w:rPr>
        <w:rStyle w:val="10"/>
        <w:rFonts w:hint="eastAsia" w:asci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A6"/>
    <w:rsid w:val="00006BB2"/>
    <w:rsid w:val="00014486"/>
    <w:rsid w:val="00021C74"/>
    <w:rsid w:val="00024DFD"/>
    <w:rsid w:val="00034495"/>
    <w:rsid w:val="000345DE"/>
    <w:rsid w:val="00037D28"/>
    <w:rsid w:val="0004150D"/>
    <w:rsid w:val="0004350F"/>
    <w:rsid w:val="0004358E"/>
    <w:rsid w:val="0005456D"/>
    <w:rsid w:val="00067EF3"/>
    <w:rsid w:val="00071913"/>
    <w:rsid w:val="0007396B"/>
    <w:rsid w:val="00076878"/>
    <w:rsid w:val="000869A6"/>
    <w:rsid w:val="00086DEC"/>
    <w:rsid w:val="00097793"/>
    <w:rsid w:val="0009788B"/>
    <w:rsid w:val="000A2348"/>
    <w:rsid w:val="000A433C"/>
    <w:rsid w:val="000A7D1B"/>
    <w:rsid w:val="000B26B7"/>
    <w:rsid w:val="000B33F9"/>
    <w:rsid w:val="000B674A"/>
    <w:rsid w:val="000C4020"/>
    <w:rsid w:val="000D3683"/>
    <w:rsid w:val="000D45BB"/>
    <w:rsid w:val="000D5BE1"/>
    <w:rsid w:val="000E43B1"/>
    <w:rsid w:val="000E739D"/>
    <w:rsid w:val="00106DD0"/>
    <w:rsid w:val="00124EBC"/>
    <w:rsid w:val="00135394"/>
    <w:rsid w:val="00142428"/>
    <w:rsid w:val="001453C7"/>
    <w:rsid w:val="00146CE3"/>
    <w:rsid w:val="00150F36"/>
    <w:rsid w:val="00151CEB"/>
    <w:rsid w:val="001572F7"/>
    <w:rsid w:val="0016591D"/>
    <w:rsid w:val="001672BF"/>
    <w:rsid w:val="0017213C"/>
    <w:rsid w:val="0018754E"/>
    <w:rsid w:val="001915AD"/>
    <w:rsid w:val="00194A9D"/>
    <w:rsid w:val="00197D89"/>
    <w:rsid w:val="001A304D"/>
    <w:rsid w:val="001A463E"/>
    <w:rsid w:val="001A673C"/>
    <w:rsid w:val="001B0780"/>
    <w:rsid w:val="001B30EA"/>
    <w:rsid w:val="001B4C6C"/>
    <w:rsid w:val="001C581B"/>
    <w:rsid w:val="001C7A66"/>
    <w:rsid w:val="001D1055"/>
    <w:rsid w:val="001D1929"/>
    <w:rsid w:val="001E1174"/>
    <w:rsid w:val="001E6DC7"/>
    <w:rsid w:val="001F62C2"/>
    <w:rsid w:val="00200050"/>
    <w:rsid w:val="00201C4B"/>
    <w:rsid w:val="00201C9D"/>
    <w:rsid w:val="00210091"/>
    <w:rsid w:val="00213361"/>
    <w:rsid w:val="00215C32"/>
    <w:rsid w:val="00215F7A"/>
    <w:rsid w:val="00222E59"/>
    <w:rsid w:val="002262BD"/>
    <w:rsid w:val="00227675"/>
    <w:rsid w:val="00231506"/>
    <w:rsid w:val="00236245"/>
    <w:rsid w:val="00240F7F"/>
    <w:rsid w:val="00247DA8"/>
    <w:rsid w:val="002540B3"/>
    <w:rsid w:val="002542E5"/>
    <w:rsid w:val="00255907"/>
    <w:rsid w:val="00270C24"/>
    <w:rsid w:val="002719F8"/>
    <w:rsid w:val="00271B52"/>
    <w:rsid w:val="002742F6"/>
    <w:rsid w:val="002842BD"/>
    <w:rsid w:val="00285418"/>
    <w:rsid w:val="00286895"/>
    <w:rsid w:val="002900BD"/>
    <w:rsid w:val="00291755"/>
    <w:rsid w:val="0029550F"/>
    <w:rsid w:val="00295E00"/>
    <w:rsid w:val="002A31BB"/>
    <w:rsid w:val="002C67AD"/>
    <w:rsid w:val="002C67C1"/>
    <w:rsid w:val="002C7845"/>
    <w:rsid w:val="002D1DDB"/>
    <w:rsid w:val="002D4755"/>
    <w:rsid w:val="002D511D"/>
    <w:rsid w:val="002E2C18"/>
    <w:rsid w:val="002E4D9D"/>
    <w:rsid w:val="002E527B"/>
    <w:rsid w:val="002E63F1"/>
    <w:rsid w:val="002E742E"/>
    <w:rsid w:val="002F33EC"/>
    <w:rsid w:val="00300806"/>
    <w:rsid w:val="0031275A"/>
    <w:rsid w:val="003127E1"/>
    <w:rsid w:val="00317C95"/>
    <w:rsid w:val="0032742D"/>
    <w:rsid w:val="003307A7"/>
    <w:rsid w:val="00330A42"/>
    <w:rsid w:val="00331D90"/>
    <w:rsid w:val="0033513E"/>
    <w:rsid w:val="00335BA3"/>
    <w:rsid w:val="00341A10"/>
    <w:rsid w:val="00343CDB"/>
    <w:rsid w:val="00345119"/>
    <w:rsid w:val="00346D6E"/>
    <w:rsid w:val="0035367E"/>
    <w:rsid w:val="00366C1C"/>
    <w:rsid w:val="00367862"/>
    <w:rsid w:val="003716B5"/>
    <w:rsid w:val="00373DDA"/>
    <w:rsid w:val="00376244"/>
    <w:rsid w:val="00381E20"/>
    <w:rsid w:val="00382841"/>
    <w:rsid w:val="0038757E"/>
    <w:rsid w:val="0039214B"/>
    <w:rsid w:val="00394E67"/>
    <w:rsid w:val="003971AD"/>
    <w:rsid w:val="003A0ADC"/>
    <w:rsid w:val="003B1970"/>
    <w:rsid w:val="003B44FD"/>
    <w:rsid w:val="003B5482"/>
    <w:rsid w:val="003C5539"/>
    <w:rsid w:val="003C5B89"/>
    <w:rsid w:val="003C7F05"/>
    <w:rsid w:val="003D0E83"/>
    <w:rsid w:val="003D27BB"/>
    <w:rsid w:val="003D351A"/>
    <w:rsid w:val="003D3B49"/>
    <w:rsid w:val="003D54BA"/>
    <w:rsid w:val="003D64EC"/>
    <w:rsid w:val="003D7A10"/>
    <w:rsid w:val="003E0FE1"/>
    <w:rsid w:val="003E6C8A"/>
    <w:rsid w:val="003E6FCF"/>
    <w:rsid w:val="003F28B7"/>
    <w:rsid w:val="003F47B0"/>
    <w:rsid w:val="003F7083"/>
    <w:rsid w:val="00400B2E"/>
    <w:rsid w:val="004144E9"/>
    <w:rsid w:val="00414FF6"/>
    <w:rsid w:val="004277D9"/>
    <w:rsid w:val="00431C08"/>
    <w:rsid w:val="0043433B"/>
    <w:rsid w:val="0043707A"/>
    <w:rsid w:val="004404DF"/>
    <w:rsid w:val="00444EEE"/>
    <w:rsid w:val="00446C71"/>
    <w:rsid w:val="00446FAC"/>
    <w:rsid w:val="00454EA5"/>
    <w:rsid w:val="0045684B"/>
    <w:rsid w:val="004650FC"/>
    <w:rsid w:val="004652F9"/>
    <w:rsid w:val="00474C40"/>
    <w:rsid w:val="00477632"/>
    <w:rsid w:val="004801C2"/>
    <w:rsid w:val="0048194E"/>
    <w:rsid w:val="00485912"/>
    <w:rsid w:val="00493C22"/>
    <w:rsid w:val="00496BA9"/>
    <w:rsid w:val="004A1B29"/>
    <w:rsid w:val="004A36D4"/>
    <w:rsid w:val="004B42CB"/>
    <w:rsid w:val="004B6D8F"/>
    <w:rsid w:val="004B71BD"/>
    <w:rsid w:val="004B7312"/>
    <w:rsid w:val="004C188F"/>
    <w:rsid w:val="004C7B75"/>
    <w:rsid w:val="004D0B5B"/>
    <w:rsid w:val="004D1790"/>
    <w:rsid w:val="004D6103"/>
    <w:rsid w:val="004D6E2D"/>
    <w:rsid w:val="004E0746"/>
    <w:rsid w:val="004E169B"/>
    <w:rsid w:val="004E2231"/>
    <w:rsid w:val="004E468D"/>
    <w:rsid w:val="004F1584"/>
    <w:rsid w:val="004F7869"/>
    <w:rsid w:val="00501E11"/>
    <w:rsid w:val="00502713"/>
    <w:rsid w:val="00505AB8"/>
    <w:rsid w:val="00510536"/>
    <w:rsid w:val="00511F21"/>
    <w:rsid w:val="005121C9"/>
    <w:rsid w:val="005210CC"/>
    <w:rsid w:val="00525708"/>
    <w:rsid w:val="00525F87"/>
    <w:rsid w:val="00526A9C"/>
    <w:rsid w:val="005334B8"/>
    <w:rsid w:val="005346AB"/>
    <w:rsid w:val="0054652F"/>
    <w:rsid w:val="005559F6"/>
    <w:rsid w:val="00560FC1"/>
    <w:rsid w:val="005614D5"/>
    <w:rsid w:val="00563066"/>
    <w:rsid w:val="00580F96"/>
    <w:rsid w:val="00581888"/>
    <w:rsid w:val="00587C99"/>
    <w:rsid w:val="00590DC2"/>
    <w:rsid w:val="00593BF0"/>
    <w:rsid w:val="00595213"/>
    <w:rsid w:val="00596A30"/>
    <w:rsid w:val="005A22F3"/>
    <w:rsid w:val="005A3A25"/>
    <w:rsid w:val="005A4BE9"/>
    <w:rsid w:val="005A7587"/>
    <w:rsid w:val="005B0065"/>
    <w:rsid w:val="005B1CAF"/>
    <w:rsid w:val="005B264F"/>
    <w:rsid w:val="005C1323"/>
    <w:rsid w:val="005D0E94"/>
    <w:rsid w:val="005D2072"/>
    <w:rsid w:val="005D3DE3"/>
    <w:rsid w:val="005E2213"/>
    <w:rsid w:val="005E65B3"/>
    <w:rsid w:val="005F5A14"/>
    <w:rsid w:val="00603164"/>
    <w:rsid w:val="00603582"/>
    <w:rsid w:val="00611B97"/>
    <w:rsid w:val="00617D5F"/>
    <w:rsid w:val="00621BA6"/>
    <w:rsid w:val="0062576C"/>
    <w:rsid w:val="006326D9"/>
    <w:rsid w:val="00633159"/>
    <w:rsid w:val="006405DE"/>
    <w:rsid w:val="006454CC"/>
    <w:rsid w:val="00645ED1"/>
    <w:rsid w:val="00647B78"/>
    <w:rsid w:val="006547DC"/>
    <w:rsid w:val="006573D5"/>
    <w:rsid w:val="0065779A"/>
    <w:rsid w:val="006607D4"/>
    <w:rsid w:val="006622DC"/>
    <w:rsid w:val="00663823"/>
    <w:rsid w:val="006645E0"/>
    <w:rsid w:val="0066606B"/>
    <w:rsid w:val="00670B06"/>
    <w:rsid w:val="00671ABD"/>
    <w:rsid w:val="00671CDB"/>
    <w:rsid w:val="006823E4"/>
    <w:rsid w:val="00684127"/>
    <w:rsid w:val="006850BC"/>
    <w:rsid w:val="006912CE"/>
    <w:rsid w:val="00697E24"/>
    <w:rsid w:val="006A0440"/>
    <w:rsid w:val="006A0F8B"/>
    <w:rsid w:val="006A5E14"/>
    <w:rsid w:val="006A6B16"/>
    <w:rsid w:val="006B05F3"/>
    <w:rsid w:val="006B2F2E"/>
    <w:rsid w:val="006B753D"/>
    <w:rsid w:val="006C06F3"/>
    <w:rsid w:val="006C4C26"/>
    <w:rsid w:val="006C744D"/>
    <w:rsid w:val="006D3AC8"/>
    <w:rsid w:val="006D6159"/>
    <w:rsid w:val="006D7E82"/>
    <w:rsid w:val="006E11EA"/>
    <w:rsid w:val="006E44F6"/>
    <w:rsid w:val="006E6517"/>
    <w:rsid w:val="006F5908"/>
    <w:rsid w:val="006F5990"/>
    <w:rsid w:val="00701263"/>
    <w:rsid w:val="00703886"/>
    <w:rsid w:val="00703D48"/>
    <w:rsid w:val="0071294B"/>
    <w:rsid w:val="0071600A"/>
    <w:rsid w:val="00717001"/>
    <w:rsid w:val="0072386A"/>
    <w:rsid w:val="00724D18"/>
    <w:rsid w:val="0073335D"/>
    <w:rsid w:val="007333FE"/>
    <w:rsid w:val="0073428E"/>
    <w:rsid w:val="007402A1"/>
    <w:rsid w:val="00742465"/>
    <w:rsid w:val="00747320"/>
    <w:rsid w:val="00751AB2"/>
    <w:rsid w:val="00752765"/>
    <w:rsid w:val="007529AC"/>
    <w:rsid w:val="0075578A"/>
    <w:rsid w:val="00757EB7"/>
    <w:rsid w:val="0076074F"/>
    <w:rsid w:val="0076597C"/>
    <w:rsid w:val="00767141"/>
    <w:rsid w:val="0077047A"/>
    <w:rsid w:val="00770E46"/>
    <w:rsid w:val="00775FB9"/>
    <w:rsid w:val="0077622B"/>
    <w:rsid w:val="00780A3B"/>
    <w:rsid w:val="00781CF3"/>
    <w:rsid w:val="00781EA1"/>
    <w:rsid w:val="0079292F"/>
    <w:rsid w:val="00795692"/>
    <w:rsid w:val="007966D1"/>
    <w:rsid w:val="007A0CC9"/>
    <w:rsid w:val="007A26A8"/>
    <w:rsid w:val="007A3AB1"/>
    <w:rsid w:val="007B0BC3"/>
    <w:rsid w:val="007B135F"/>
    <w:rsid w:val="007B374A"/>
    <w:rsid w:val="007C1434"/>
    <w:rsid w:val="007C431B"/>
    <w:rsid w:val="007C53FB"/>
    <w:rsid w:val="007C6C45"/>
    <w:rsid w:val="007E3E03"/>
    <w:rsid w:val="007F6102"/>
    <w:rsid w:val="007F7761"/>
    <w:rsid w:val="0080156D"/>
    <w:rsid w:val="00804478"/>
    <w:rsid w:val="00807ADC"/>
    <w:rsid w:val="00814435"/>
    <w:rsid w:val="008230F7"/>
    <w:rsid w:val="00825F30"/>
    <w:rsid w:val="00831DCA"/>
    <w:rsid w:val="00844623"/>
    <w:rsid w:val="008550E6"/>
    <w:rsid w:val="00855E9B"/>
    <w:rsid w:val="0085662E"/>
    <w:rsid w:val="00860C46"/>
    <w:rsid w:val="008638C6"/>
    <w:rsid w:val="0086513F"/>
    <w:rsid w:val="00867234"/>
    <w:rsid w:val="00876D36"/>
    <w:rsid w:val="00882640"/>
    <w:rsid w:val="008833A4"/>
    <w:rsid w:val="00883FB0"/>
    <w:rsid w:val="00884B9B"/>
    <w:rsid w:val="00886DB9"/>
    <w:rsid w:val="0089138C"/>
    <w:rsid w:val="00892731"/>
    <w:rsid w:val="0089323E"/>
    <w:rsid w:val="00895019"/>
    <w:rsid w:val="008978A9"/>
    <w:rsid w:val="008A54BA"/>
    <w:rsid w:val="008B73CF"/>
    <w:rsid w:val="008C2374"/>
    <w:rsid w:val="008C4AE5"/>
    <w:rsid w:val="008C4C24"/>
    <w:rsid w:val="008C4EE5"/>
    <w:rsid w:val="008D1C55"/>
    <w:rsid w:val="008D6AA1"/>
    <w:rsid w:val="008E01A6"/>
    <w:rsid w:val="008E11D2"/>
    <w:rsid w:val="008E7675"/>
    <w:rsid w:val="008E7682"/>
    <w:rsid w:val="008E7ED6"/>
    <w:rsid w:val="008F2A71"/>
    <w:rsid w:val="008F4EB7"/>
    <w:rsid w:val="008F6C09"/>
    <w:rsid w:val="009017B0"/>
    <w:rsid w:val="00911796"/>
    <w:rsid w:val="00916D5E"/>
    <w:rsid w:val="0092311D"/>
    <w:rsid w:val="00931A4E"/>
    <w:rsid w:val="0093293F"/>
    <w:rsid w:val="00935B1A"/>
    <w:rsid w:val="00945E71"/>
    <w:rsid w:val="009611EC"/>
    <w:rsid w:val="00962ED3"/>
    <w:rsid w:val="0096511E"/>
    <w:rsid w:val="0096521A"/>
    <w:rsid w:val="009663CA"/>
    <w:rsid w:val="0097570C"/>
    <w:rsid w:val="009866C1"/>
    <w:rsid w:val="00992DF3"/>
    <w:rsid w:val="0099688A"/>
    <w:rsid w:val="009974F8"/>
    <w:rsid w:val="009B0236"/>
    <w:rsid w:val="009B7BA2"/>
    <w:rsid w:val="009C121D"/>
    <w:rsid w:val="009C2FC1"/>
    <w:rsid w:val="009D0A99"/>
    <w:rsid w:val="009D523C"/>
    <w:rsid w:val="009F5FED"/>
    <w:rsid w:val="009F6DF7"/>
    <w:rsid w:val="009F7145"/>
    <w:rsid w:val="00A0011C"/>
    <w:rsid w:val="00A00B16"/>
    <w:rsid w:val="00A03F8D"/>
    <w:rsid w:val="00A12963"/>
    <w:rsid w:val="00A175C1"/>
    <w:rsid w:val="00A2217F"/>
    <w:rsid w:val="00A221B3"/>
    <w:rsid w:val="00A22815"/>
    <w:rsid w:val="00A22CC6"/>
    <w:rsid w:val="00A259DF"/>
    <w:rsid w:val="00A27986"/>
    <w:rsid w:val="00A37DE0"/>
    <w:rsid w:val="00A4396E"/>
    <w:rsid w:val="00A50C6D"/>
    <w:rsid w:val="00A577CD"/>
    <w:rsid w:val="00A60FF8"/>
    <w:rsid w:val="00A61ED8"/>
    <w:rsid w:val="00A64569"/>
    <w:rsid w:val="00A863A8"/>
    <w:rsid w:val="00A943D9"/>
    <w:rsid w:val="00A9476D"/>
    <w:rsid w:val="00AA0542"/>
    <w:rsid w:val="00AA4B25"/>
    <w:rsid w:val="00AC6126"/>
    <w:rsid w:val="00AC6B70"/>
    <w:rsid w:val="00AD1DC2"/>
    <w:rsid w:val="00AD4B15"/>
    <w:rsid w:val="00AE01BC"/>
    <w:rsid w:val="00AE1090"/>
    <w:rsid w:val="00AE1C4B"/>
    <w:rsid w:val="00AF3F71"/>
    <w:rsid w:val="00AF5E5D"/>
    <w:rsid w:val="00AF60FF"/>
    <w:rsid w:val="00AF6884"/>
    <w:rsid w:val="00AF7AE1"/>
    <w:rsid w:val="00AF7BAC"/>
    <w:rsid w:val="00B05CAC"/>
    <w:rsid w:val="00B066AF"/>
    <w:rsid w:val="00B1158F"/>
    <w:rsid w:val="00B1651E"/>
    <w:rsid w:val="00B16E84"/>
    <w:rsid w:val="00B25F0B"/>
    <w:rsid w:val="00B277E4"/>
    <w:rsid w:val="00B30B53"/>
    <w:rsid w:val="00B426F3"/>
    <w:rsid w:val="00B42CDE"/>
    <w:rsid w:val="00B4739D"/>
    <w:rsid w:val="00B47569"/>
    <w:rsid w:val="00B51018"/>
    <w:rsid w:val="00B513C2"/>
    <w:rsid w:val="00B51FA8"/>
    <w:rsid w:val="00B52DFE"/>
    <w:rsid w:val="00B540C8"/>
    <w:rsid w:val="00B5411E"/>
    <w:rsid w:val="00B679CE"/>
    <w:rsid w:val="00B714C8"/>
    <w:rsid w:val="00B71687"/>
    <w:rsid w:val="00B74088"/>
    <w:rsid w:val="00B744D2"/>
    <w:rsid w:val="00B74CE6"/>
    <w:rsid w:val="00B76C32"/>
    <w:rsid w:val="00B856E2"/>
    <w:rsid w:val="00B91173"/>
    <w:rsid w:val="00B93556"/>
    <w:rsid w:val="00B947D8"/>
    <w:rsid w:val="00BA0376"/>
    <w:rsid w:val="00BB3B4C"/>
    <w:rsid w:val="00BB52A2"/>
    <w:rsid w:val="00BB5871"/>
    <w:rsid w:val="00BB73A2"/>
    <w:rsid w:val="00BC132E"/>
    <w:rsid w:val="00BC4F29"/>
    <w:rsid w:val="00BD2FAE"/>
    <w:rsid w:val="00BD59D5"/>
    <w:rsid w:val="00BE33B7"/>
    <w:rsid w:val="00BE409B"/>
    <w:rsid w:val="00BF3021"/>
    <w:rsid w:val="00BF64E0"/>
    <w:rsid w:val="00BF7B2A"/>
    <w:rsid w:val="00C01337"/>
    <w:rsid w:val="00C01F45"/>
    <w:rsid w:val="00C06757"/>
    <w:rsid w:val="00C07355"/>
    <w:rsid w:val="00C151FD"/>
    <w:rsid w:val="00C20D3B"/>
    <w:rsid w:val="00C22D2F"/>
    <w:rsid w:val="00C310AE"/>
    <w:rsid w:val="00C3411A"/>
    <w:rsid w:val="00C40122"/>
    <w:rsid w:val="00C44010"/>
    <w:rsid w:val="00C51127"/>
    <w:rsid w:val="00C51446"/>
    <w:rsid w:val="00C550E3"/>
    <w:rsid w:val="00C56152"/>
    <w:rsid w:val="00C601E6"/>
    <w:rsid w:val="00C637C9"/>
    <w:rsid w:val="00C6548E"/>
    <w:rsid w:val="00C676D3"/>
    <w:rsid w:val="00C719A2"/>
    <w:rsid w:val="00C75A62"/>
    <w:rsid w:val="00C8175A"/>
    <w:rsid w:val="00C90A7E"/>
    <w:rsid w:val="00C95841"/>
    <w:rsid w:val="00C96574"/>
    <w:rsid w:val="00CC09B6"/>
    <w:rsid w:val="00CC698B"/>
    <w:rsid w:val="00CD1FD8"/>
    <w:rsid w:val="00CD61C4"/>
    <w:rsid w:val="00CE64CC"/>
    <w:rsid w:val="00CF0270"/>
    <w:rsid w:val="00CF235D"/>
    <w:rsid w:val="00CF36B4"/>
    <w:rsid w:val="00CF6D04"/>
    <w:rsid w:val="00D05C31"/>
    <w:rsid w:val="00D07DC4"/>
    <w:rsid w:val="00D121C1"/>
    <w:rsid w:val="00D26D78"/>
    <w:rsid w:val="00D27C21"/>
    <w:rsid w:val="00D30D27"/>
    <w:rsid w:val="00D34B24"/>
    <w:rsid w:val="00D44040"/>
    <w:rsid w:val="00D44802"/>
    <w:rsid w:val="00D525A4"/>
    <w:rsid w:val="00D6098E"/>
    <w:rsid w:val="00D703AC"/>
    <w:rsid w:val="00D7189C"/>
    <w:rsid w:val="00D71B84"/>
    <w:rsid w:val="00D74F91"/>
    <w:rsid w:val="00D76C8E"/>
    <w:rsid w:val="00D77F14"/>
    <w:rsid w:val="00D867C1"/>
    <w:rsid w:val="00D93613"/>
    <w:rsid w:val="00D9544B"/>
    <w:rsid w:val="00DA3049"/>
    <w:rsid w:val="00DA50A4"/>
    <w:rsid w:val="00DB0A93"/>
    <w:rsid w:val="00DB2943"/>
    <w:rsid w:val="00DB6A71"/>
    <w:rsid w:val="00DC0410"/>
    <w:rsid w:val="00DC504E"/>
    <w:rsid w:val="00DD1AF2"/>
    <w:rsid w:val="00DD4A66"/>
    <w:rsid w:val="00DE511D"/>
    <w:rsid w:val="00DE5959"/>
    <w:rsid w:val="00DF1171"/>
    <w:rsid w:val="00DF49EE"/>
    <w:rsid w:val="00DF4E04"/>
    <w:rsid w:val="00DF6CEB"/>
    <w:rsid w:val="00E04D60"/>
    <w:rsid w:val="00E065CE"/>
    <w:rsid w:val="00E12833"/>
    <w:rsid w:val="00E15E93"/>
    <w:rsid w:val="00E23E10"/>
    <w:rsid w:val="00E23F91"/>
    <w:rsid w:val="00E24CD4"/>
    <w:rsid w:val="00E25783"/>
    <w:rsid w:val="00E30BAC"/>
    <w:rsid w:val="00E3311B"/>
    <w:rsid w:val="00E413D4"/>
    <w:rsid w:val="00E43B6B"/>
    <w:rsid w:val="00E43E64"/>
    <w:rsid w:val="00E450A1"/>
    <w:rsid w:val="00E524E0"/>
    <w:rsid w:val="00E545DD"/>
    <w:rsid w:val="00E75949"/>
    <w:rsid w:val="00E76C49"/>
    <w:rsid w:val="00E80692"/>
    <w:rsid w:val="00E85B47"/>
    <w:rsid w:val="00E91F6A"/>
    <w:rsid w:val="00E95B3D"/>
    <w:rsid w:val="00EA5BE2"/>
    <w:rsid w:val="00EA5C43"/>
    <w:rsid w:val="00EB0D1F"/>
    <w:rsid w:val="00EB2FA7"/>
    <w:rsid w:val="00EB5B1A"/>
    <w:rsid w:val="00EB691C"/>
    <w:rsid w:val="00EB7536"/>
    <w:rsid w:val="00EC7234"/>
    <w:rsid w:val="00EC7AFD"/>
    <w:rsid w:val="00ED22C1"/>
    <w:rsid w:val="00ED613C"/>
    <w:rsid w:val="00EE04CB"/>
    <w:rsid w:val="00EF471D"/>
    <w:rsid w:val="00F03B14"/>
    <w:rsid w:val="00F113E2"/>
    <w:rsid w:val="00F1225E"/>
    <w:rsid w:val="00F13933"/>
    <w:rsid w:val="00F25632"/>
    <w:rsid w:val="00F27B42"/>
    <w:rsid w:val="00F303D9"/>
    <w:rsid w:val="00F31AA8"/>
    <w:rsid w:val="00F4418A"/>
    <w:rsid w:val="00F46227"/>
    <w:rsid w:val="00F51332"/>
    <w:rsid w:val="00F56181"/>
    <w:rsid w:val="00F5653A"/>
    <w:rsid w:val="00F62627"/>
    <w:rsid w:val="00F71C48"/>
    <w:rsid w:val="00F778B9"/>
    <w:rsid w:val="00F808BD"/>
    <w:rsid w:val="00F857DB"/>
    <w:rsid w:val="00F85A4F"/>
    <w:rsid w:val="00F874EF"/>
    <w:rsid w:val="00F90536"/>
    <w:rsid w:val="00F97496"/>
    <w:rsid w:val="00FA1B17"/>
    <w:rsid w:val="00FA2261"/>
    <w:rsid w:val="00FA4193"/>
    <w:rsid w:val="00FA5737"/>
    <w:rsid w:val="00FB0D65"/>
    <w:rsid w:val="00FB101F"/>
    <w:rsid w:val="00FB4048"/>
    <w:rsid w:val="00FC4C34"/>
    <w:rsid w:val="00FC7657"/>
    <w:rsid w:val="00FD3809"/>
    <w:rsid w:val="00FD44B4"/>
    <w:rsid w:val="00FD5498"/>
    <w:rsid w:val="00FD7EAF"/>
    <w:rsid w:val="00FE0D47"/>
    <w:rsid w:val="00FE2B67"/>
    <w:rsid w:val="00FE3136"/>
    <w:rsid w:val="00FE54E1"/>
    <w:rsid w:val="00FF5378"/>
    <w:rsid w:val="00FF6BF9"/>
    <w:rsid w:val="5BF6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Date"/>
    <w:basedOn w:val="1"/>
    <w:next w:val="1"/>
    <w:link w:val="15"/>
    <w:semiHidden/>
    <w:unhideWhenUsed/>
    <w:uiPriority w:val="99"/>
    <w:pPr>
      <w:ind w:left="100" w:leftChars="2500"/>
    </w:pPr>
  </w:style>
  <w:style w:type="paragraph" w:styleId="4">
    <w:name w:val="Balloon Text"/>
    <w:basedOn w:val="1"/>
    <w:link w:val="14"/>
    <w:unhideWhenUsed/>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next w:val="4"/>
    <w:link w:val="17"/>
    <w:qFormat/>
    <w:uiPriority w:val="0"/>
    <w:pPr>
      <w:widowControl w:val="0"/>
      <w:ind w:firstLine="200" w:firstLineChars="200"/>
      <w:jc w:val="both"/>
    </w:pPr>
    <w:rPr>
      <w:rFonts w:ascii="仿宋_GB2312" w:hAnsi="Times New Roman" w:eastAsia="仿宋_GB2312" w:cs="Arial"/>
      <w:kern w:val="2"/>
      <w:sz w:val="30"/>
      <w:szCs w:val="30"/>
      <w:lang w:val="en-US" w:eastAsia="zh-CN" w:bidi="ar-SA"/>
    </w:r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customStyle="1" w:styleId="12">
    <w:name w:val="页眉 Char"/>
    <w:basedOn w:val="9"/>
    <w:link w:val="6"/>
    <w:semiHidden/>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qFormat/>
    <w:uiPriority w:val="0"/>
    <w:rPr>
      <w:sz w:val="18"/>
      <w:szCs w:val="18"/>
    </w:rPr>
  </w:style>
  <w:style w:type="character" w:customStyle="1" w:styleId="15">
    <w:name w:val="日期 Char"/>
    <w:basedOn w:val="9"/>
    <w:link w:val="3"/>
    <w:semiHidden/>
    <w:uiPriority w:val="99"/>
    <w:rPr>
      <w:szCs w:val="24"/>
    </w:rPr>
  </w:style>
  <w:style w:type="character" w:customStyle="1" w:styleId="16">
    <w:name w:val="正文文本缩进 Char"/>
    <w:basedOn w:val="9"/>
    <w:link w:val="2"/>
    <w:semiHidden/>
    <w:qFormat/>
    <w:uiPriority w:val="99"/>
    <w:rPr>
      <w:szCs w:val="24"/>
    </w:rPr>
  </w:style>
  <w:style w:type="character" w:customStyle="1" w:styleId="17">
    <w:name w:val="正文首行缩进 2 Char"/>
    <w:basedOn w:val="16"/>
    <w:link w:val="7"/>
    <w:qFormat/>
    <w:uiPriority w:val="0"/>
    <w:rPr>
      <w:rFonts w:ascii="仿宋_GB2312" w:hAnsi="Times New Roman" w:eastAsia="仿宋_GB2312" w:cs="Arial"/>
      <w:sz w:val="30"/>
      <w:szCs w:val="30"/>
    </w:rPr>
  </w:style>
  <w:style w:type="character" w:customStyle="1" w:styleId="18">
    <w:name w:val="15"/>
    <w:qFormat/>
    <w:uiPriority w:val="0"/>
    <w:rPr>
      <w:rFonts w:ascii="仿宋_GB2312"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0F7C9-82F1-40C8-998C-2026348647A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6428</Words>
  <Characters>6589</Characters>
  <Lines>49</Lines>
  <Paragraphs>14</Paragraphs>
  <TotalTime>1135</TotalTime>
  <ScaleCrop>false</ScaleCrop>
  <LinksUpToDate>false</LinksUpToDate>
  <CharactersWithSpaces>6675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2021-09-23T07:45:00Z</dcterms:created>
  <dc:creator>user</dc:creator>
  <cp:lastModifiedBy>山人</cp:lastModifiedBy>
  <cp:lastPrinted>2022-01-29T03:55:00Z</cp:lastPrinted>
  <dcterms:modified xsi:type="dcterms:W3CDTF">2022-04-19T08:05:48Z</dcterms:modified>
  <cp:revision>627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C3E7C69146BF483DB35B568619877C8A</vt:lpwstr>
  </property>
</Properties>
</file>