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莆田市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生态环境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局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印发《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莆田市生态环境系统普法责任清单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及工作任务安排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各县区（管委会）生态环境局，</w:t>
      </w:r>
      <w:r>
        <w:rPr>
          <w:rFonts w:hint="eastAsia" w:ascii="仿宋_GB2312" w:hAnsi="仿宋_GB2312" w:eastAsia="仿宋_GB2312" w:cs="仿宋_GB2312"/>
          <w:szCs w:val="32"/>
        </w:rPr>
        <w:t>机关各科室，所属各单位：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为深入推进国家机关</w:t>
      </w:r>
      <w:r>
        <w:rPr>
          <w:rFonts w:hint="eastAsia" w:ascii="仿宋_GB2312" w:hAnsi="仿宋_GB2312" w:eastAsia="仿宋_GB2312" w:cs="仿宋_GB2312"/>
          <w:szCs w:val="32"/>
        </w:rPr>
        <w:t>“谁执法谁普法”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普法责任制，</w:t>
      </w:r>
      <w:r>
        <w:rPr>
          <w:rFonts w:hint="eastAsia" w:ascii="仿宋_GB2312" w:hAnsi="仿宋_GB2312" w:eastAsia="仿宋_GB2312" w:cs="仿宋_GB2312"/>
          <w:szCs w:val="32"/>
        </w:rPr>
        <w:t>现将《202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莆田市生态环境系统</w:t>
      </w:r>
      <w:r>
        <w:rPr>
          <w:rFonts w:hint="eastAsia" w:ascii="仿宋_GB2312" w:hAnsi="仿宋_GB2312" w:eastAsia="仿宋_GB2312" w:cs="仿宋_GB2312"/>
          <w:szCs w:val="32"/>
        </w:rPr>
        <w:t>普法责任清单及工作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Cs w:val="32"/>
        </w:rPr>
        <w:t>安排》印发给你们，请认真遵照执行。各级宣传活动开展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结束后及时将活动情况及图片等资料</w:t>
      </w:r>
      <w:r>
        <w:rPr>
          <w:rFonts w:hint="eastAsia" w:ascii="仿宋_GB2312" w:hAnsi="仿宋_GB2312" w:eastAsia="仿宋_GB2312" w:cs="仿宋_GB2312"/>
          <w:szCs w:val="32"/>
        </w:rPr>
        <w:t>报送市局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法规与督查科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附件：《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2024年莆田市生态环境系统普法责任清单及工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作任务安排</w:t>
      </w:r>
      <w:r>
        <w:rPr>
          <w:rFonts w:hint="eastAsia" w:ascii="仿宋_GB2312" w:hAnsi="仿宋_GB2312" w:eastAsia="仿宋_GB2312" w:cs="仿宋_GB2312"/>
          <w:szCs w:val="32"/>
        </w:rPr>
        <w:t>》</w:t>
      </w: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</w:t>
      </w:r>
      <w:r>
        <w:rPr>
          <w:rFonts w:hint="eastAsia" w:ascii="仿宋_GB2312" w:eastAsia="仿宋_GB2312"/>
          <w:szCs w:val="32"/>
        </w:rPr>
        <w:t>莆田市</w:t>
      </w:r>
      <w:r>
        <w:rPr>
          <w:rFonts w:hint="eastAsia" w:ascii="仿宋_GB2312" w:eastAsia="仿宋_GB2312"/>
          <w:szCs w:val="32"/>
          <w:lang w:val="en-US" w:eastAsia="zh-CN"/>
        </w:rPr>
        <w:t>生态</w:t>
      </w:r>
      <w:r>
        <w:rPr>
          <w:rFonts w:hint="eastAsia" w:ascii="仿宋_GB2312" w:eastAsia="仿宋_GB2312"/>
          <w:szCs w:val="32"/>
        </w:rPr>
        <w:t xml:space="preserve">环境局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</w:t>
      </w:r>
      <w:r>
        <w:rPr>
          <w:rFonts w:hint="eastAsia" w:ascii="仿宋_GB2312" w:eastAsia="仿宋_GB2312"/>
          <w:szCs w:val="32"/>
          <w:lang w:val="en-US" w:eastAsia="zh-CN"/>
        </w:rPr>
        <w:t>24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7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19</w:t>
      </w:r>
      <w:r>
        <w:rPr>
          <w:rFonts w:hint="eastAsia" w:ascii="仿宋_GB2312" w:eastAsia="仿宋_GB2312"/>
          <w:szCs w:val="32"/>
        </w:rPr>
        <w:t xml:space="preserve">日   </w:t>
      </w:r>
      <w:r>
        <w:rPr>
          <w:rFonts w:hint="eastAsia" w:ascii="仿宋_GB2312" w:eastAsia="仿宋_GB231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Cs w:val="32"/>
        </w:rPr>
        <w:t xml:space="preserve"> </w:t>
      </w: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  <w:sectPr>
          <w:footerReference r:id="rId3" w:type="default"/>
          <w:pgSz w:w="11906" w:h="16838"/>
          <w:pgMar w:top="1440" w:right="1803" w:bottom="1440" w:left="1803" w:header="851" w:footer="1312" w:gutter="0"/>
          <w:pgNumType w:fmt="numberInDash"/>
          <w:cols w:space="720" w:num="1"/>
          <w:rtlGutter w:val="0"/>
          <w:docGrid w:type="lines" w:linePitch="436" w:charSpace="0"/>
        </w:sectPr>
      </w:pPr>
    </w:p>
    <w:p>
      <w:pPr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0" w:beforeLines="50" w:after="157" w:afterLines="50" w:line="600" w:lineRule="exact"/>
        <w:jc w:val="center"/>
        <w:textAlignment w:val="auto"/>
        <w:rPr>
          <w:rFonts w:hint="default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2024年莆田市生态环境系统普法责任清单及工作任务安排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280"/>
        <w:gridCol w:w="2325"/>
        <w:gridCol w:w="3720"/>
        <w:gridCol w:w="1885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环境保护法》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结合六五环境日等重要节点，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利用门户网站、LED屏、微信公众号、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执法宣传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等形式开展宣传活动。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机关各科室、所属各单位，各县区生态环境局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环境影响评价法》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行政审批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科牵头，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水污染防治法》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结合六五环境日等重要节点，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利用门户网站、LED屏、微信公众号、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执法宣传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等形式开展宣传活动。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水生态与海洋生态环境科牵头，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大气污染防治法》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全市范围内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生产活动中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造成大气污染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结合挥发性有机物治理工作检查开展入企宣传。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-2024.10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大气环境管理与固体废物及化学品科牵头，各县区生态环境局落实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固体废物污染环境防治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全市范围内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生产活动中产生的固体废物的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组织召开培训会，结合日常检查等进行普法宣传。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-2024.10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大气环境管理与固体废物及化学品科牵头，各县区生态环境局落实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土壤污染防治法》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土壤污染重点监管单位、涉镉等重金属企业、涉及用途变更为“一住两公”地块业主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结合有关企业现场检查及土壤污染状况调查报告评审会开展宣传。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土壤与生态保护科牵头，各县区生态环境局落实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噪声污染防治法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全市范围内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生产活动中排放的噪声的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结合日常检查工作开展入企宣传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2024.5-2024.12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大气环境管理与固体废物及化学品科牵头，各县区生态环境局落实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中华人民共和国海洋环境保护法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水生态与海洋生态环境科牵头，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民法典》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集中学习、入户宣传等形式开展主题宣传活动。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法规与督查科牵头，各县区生态环境局落实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《中华人民共和国宪法》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结合宪法宣传周等重要节点，依托党组理论学习中心组集中学习、门户网站、微信公众号等形式开展主题宣传活动。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法规与督查科牵头，各县区生态环境局落实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《中华人民共和国突发事件应对法》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综合与监测应急科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排污许可管理办法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全市生态环境审批人员、实行排污许可管理的企业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组织召开培训会议，入企现场宣传。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7月-10月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行政审批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科牵头，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碳排放权交易管理暂行条例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全市列入国家和福建碳市场的重点排放单位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组织召开培训会，结合日常检查等进行普法宣传。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2024.5-2024.12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大气环境管理与固体废物及化学品科牵头，各县区生态环境局落实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《公平竞争审查条例》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依托党组理论学习中心组集中学习、门户网站、微信公众号等形式开展主题宣传活动。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法规与督查科牵头，各县区生态环境局落实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《福建省机关效能建设工作条例》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自主学习、集中学习。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机关各科室、所属各单位，各县区生态环境局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福建省固体废物污染环境防治条例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全市范围内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生产活动中产生的固体废物的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组织召开培训会，结合日常检查等进行普法宣传。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-2024.10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大气环境管理与固体废物及化学品科牵头，各县区生态环境局落实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《莆田市木兰溪流域保护条例》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木兰溪流域涉水企业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结合双随机”抽查、木兰溪流域专项执法检查等开展送法入企活动，分发木兰溪流域条例宣传册，进行普法宣传。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2024.7-2024.10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执法支队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牵头，仙游、荔城、城厢、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涵江生态环境局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《莆田市东圳库区水环境保护条例》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水生态与海洋生态环境科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牵头，仙游、荔城、城厢、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涵江生态环境局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《生态环境行政处罚办法》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以集中学习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的形式开展主题宣传活动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荔城生态环境局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《福建省水污染防治条例》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局干部职工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条例宣讲。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4月18日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城厢生态环境局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《中华人民共和国自然保护区条例》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平海镇干部、平海镇石井村村民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现场宣传。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秀屿生态环境局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《莆田市湄洲岛保护管理条例》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局机关及所属事业单位工作人员、社会公众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湄洲岛生态资源局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BQAAAAI&#10;AIdO4kBteV5o3QEAAL4DAAAOAAAAAAAAAAEAIAAAADQBAABkcnMvZTJvRG9jLnhtbFBLAQIUABQA&#10;AAAIAIdO4kDOqXm5zwAAAAUBAAAPAAAAAAAAAAEAIAAAADgAAABkcnMvZG93bnJldi54bWxQSwEC&#10;FAAKAAAAAACHTuJAAAAAAAAAAAAAAAAABAAAAAAAAAAAABAAAAAWAAAAZHJ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4EDDD"/>
    <w:rsid w:val="0FA6E711"/>
    <w:rsid w:val="0FB3A439"/>
    <w:rsid w:val="1993674F"/>
    <w:rsid w:val="1DEFB961"/>
    <w:rsid w:val="1F1FF228"/>
    <w:rsid w:val="3C7D1D06"/>
    <w:rsid w:val="3DEF0E82"/>
    <w:rsid w:val="3FFDF724"/>
    <w:rsid w:val="59FE9DB6"/>
    <w:rsid w:val="5BEED508"/>
    <w:rsid w:val="5EFF73F5"/>
    <w:rsid w:val="5F5725E9"/>
    <w:rsid w:val="6DFC4082"/>
    <w:rsid w:val="6FEE756E"/>
    <w:rsid w:val="73FD31A4"/>
    <w:rsid w:val="765F33C8"/>
    <w:rsid w:val="79BF5E6F"/>
    <w:rsid w:val="79FBCA15"/>
    <w:rsid w:val="7BFF214E"/>
    <w:rsid w:val="7C5D5CF0"/>
    <w:rsid w:val="7CFFDC53"/>
    <w:rsid w:val="7DFC23D9"/>
    <w:rsid w:val="7DFF4C33"/>
    <w:rsid w:val="7F2F1D84"/>
    <w:rsid w:val="7FB668E9"/>
    <w:rsid w:val="7FBD7631"/>
    <w:rsid w:val="7FBF4549"/>
    <w:rsid w:val="9FF7A28A"/>
    <w:rsid w:val="A2BF962F"/>
    <w:rsid w:val="A4BA71C2"/>
    <w:rsid w:val="AEDF7FD2"/>
    <w:rsid w:val="BA251999"/>
    <w:rsid w:val="BBF9EA20"/>
    <w:rsid w:val="BD653623"/>
    <w:rsid w:val="BFFF248B"/>
    <w:rsid w:val="CFEFCAE9"/>
    <w:rsid w:val="E53E3065"/>
    <w:rsid w:val="EFCB3965"/>
    <w:rsid w:val="EFFE0D35"/>
    <w:rsid w:val="EFFF54EF"/>
    <w:rsid w:val="F26F5A5D"/>
    <w:rsid w:val="F37B54DB"/>
    <w:rsid w:val="F6576B29"/>
    <w:rsid w:val="F7AF1FDF"/>
    <w:rsid w:val="F7C583BB"/>
    <w:rsid w:val="F7D1A407"/>
    <w:rsid w:val="F7F81D4D"/>
    <w:rsid w:val="F7F997F5"/>
    <w:rsid w:val="FBFF84C5"/>
    <w:rsid w:val="FD1D2D05"/>
    <w:rsid w:val="FDB5AE3C"/>
    <w:rsid w:val="FDBF29EE"/>
    <w:rsid w:val="FEFF051A"/>
    <w:rsid w:val="FFB4EDDD"/>
    <w:rsid w:val="FFCEE3C4"/>
    <w:rsid w:val="FFDF1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17.6666666666667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2024-07-07T01:33:00Z</dcterms:created>
  <dc:creator>pc</dc:creator>
  <cp:lastModifiedBy>pc</cp:lastModifiedBy>
  <cp:lastPrinted>2024-07-19T16:55:49Z</cp:lastPrinted>
  <dcterms:modified xsi:type="dcterms:W3CDTF">2024-09-10T11:28:28Z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B373724B27E5B496DCBCDF664F41CAF7</vt:lpwstr>
  </property>
</Properties>
</file>